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FB1" w:rsidRPr="009E05DA" w:rsidRDefault="00552EF1" w:rsidP="00B233B4">
      <w:pPr>
        <w:spacing w:after="0" w:line="360" w:lineRule="auto"/>
        <w:jc w:val="center"/>
        <w:rPr>
          <w:rFonts w:ascii="GHEA Grapalat" w:hAnsi="GHEA Grapalat"/>
          <w:b/>
          <w:sz w:val="24"/>
          <w:szCs w:val="24"/>
          <w:lang w:val="hy-AM"/>
        </w:rPr>
      </w:pPr>
      <w:r w:rsidRPr="009E05DA">
        <w:rPr>
          <w:rFonts w:ascii="GHEA Grapalat" w:hAnsi="GHEA Grapalat"/>
          <w:b/>
          <w:sz w:val="24"/>
          <w:szCs w:val="24"/>
          <w:lang w:val="hy-AM"/>
        </w:rPr>
        <w:t>ՀՀ ՄԱՐԴՈՒ ԻՐԱՎՈՒՆՔՆԵՐԻ ՊԱՇՏՊԱՆԻ ԴԻՐՔՈՐՈՇՈՒՄԸ</w:t>
      </w:r>
    </w:p>
    <w:p w:rsidR="000965B4" w:rsidRPr="009E05DA" w:rsidRDefault="00552EF1" w:rsidP="00B233B4">
      <w:pPr>
        <w:spacing w:after="0" w:line="360" w:lineRule="auto"/>
        <w:jc w:val="center"/>
        <w:rPr>
          <w:rFonts w:ascii="GHEA Grapalat" w:hAnsi="GHEA Grapalat"/>
          <w:b/>
          <w:sz w:val="24"/>
          <w:szCs w:val="24"/>
          <w:lang w:val="hy-AM"/>
        </w:rPr>
      </w:pPr>
      <w:r w:rsidRPr="009E05DA">
        <w:rPr>
          <w:rFonts w:ascii="GHEA Grapalat" w:hAnsi="GHEA Grapalat"/>
          <w:b/>
          <w:sz w:val="24"/>
          <w:szCs w:val="24"/>
          <w:lang w:val="hy-AM"/>
        </w:rPr>
        <w:t xml:space="preserve">«ՀՀ ՎԵՐԱՔՆՆԻՉ ՔՐԵԱԿԱՆ ԴԱՏԱՐԱՆԻ ԴԻՄՈՒՄԻ ՀԻՄԱՆ ՎՐԱ՝ </w:t>
      </w:r>
      <w:r w:rsidR="00424F0F" w:rsidRPr="009E05DA">
        <w:rPr>
          <w:rFonts w:ascii="GHEA Grapalat" w:hAnsi="GHEA Grapalat"/>
          <w:b/>
          <w:sz w:val="24"/>
          <w:szCs w:val="24"/>
          <w:lang w:val="af-ZA"/>
        </w:rPr>
        <w:t>«</w:t>
      </w:r>
      <w:r w:rsidR="00424F0F" w:rsidRPr="009E05DA">
        <w:rPr>
          <w:rFonts w:ascii="GHEA Grapalat" w:hAnsi="GHEA Grapalat"/>
          <w:b/>
          <w:sz w:val="24"/>
          <w:szCs w:val="24"/>
          <w:lang w:val="hy-AM"/>
        </w:rPr>
        <w:t>ԷՐԵԲՈՒՆԻ</w:t>
      </w:r>
      <w:r w:rsidR="00424F0F" w:rsidRPr="009E05DA">
        <w:rPr>
          <w:rFonts w:ascii="GHEA Grapalat" w:hAnsi="GHEA Grapalat"/>
          <w:b/>
          <w:sz w:val="24"/>
          <w:szCs w:val="24"/>
          <w:lang w:val="af-ZA"/>
        </w:rPr>
        <w:t>-</w:t>
      </w:r>
      <w:r w:rsidR="00424F0F" w:rsidRPr="009E05DA">
        <w:rPr>
          <w:rFonts w:ascii="GHEA Grapalat" w:hAnsi="GHEA Grapalat"/>
          <w:b/>
          <w:sz w:val="24"/>
          <w:szCs w:val="24"/>
          <w:lang w:val="hy-AM"/>
        </w:rPr>
        <w:t>ԵՐ</w:t>
      </w:r>
      <w:r w:rsidR="00A919A1" w:rsidRPr="009E05DA">
        <w:rPr>
          <w:rFonts w:ascii="GHEA Grapalat" w:hAnsi="GHEA Grapalat"/>
          <w:b/>
          <w:sz w:val="24"/>
          <w:szCs w:val="24"/>
          <w:lang w:val="hy-AM"/>
        </w:rPr>
        <w:t>ԵՎ</w:t>
      </w:r>
      <w:r w:rsidR="00424F0F" w:rsidRPr="009E05DA">
        <w:rPr>
          <w:rFonts w:ascii="GHEA Grapalat" w:hAnsi="GHEA Grapalat"/>
          <w:b/>
          <w:sz w:val="24"/>
          <w:szCs w:val="24"/>
          <w:lang w:val="hy-AM"/>
        </w:rPr>
        <w:t>ԱՆԻ</w:t>
      </w:r>
      <w:r w:rsidR="00424F0F" w:rsidRPr="009E05DA">
        <w:rPr>
          <w:rFonts w:ascii="GHEA Grapalat" w:hAnsi="GHEA Grapalat"/>
          <w:b/>
          <w:sz w:val="24"/>
          <w:szCs w:val="24"/>
          <w:lang w:val="af-ZA"/>
        </w:rPr>
        <w:t xml:space="preserve"> </w:t>
      </w:r>
      <w:r w:rsidR="00424F0F" w:rsidRPr="009E05DA">
        <w:rPr>
          <w:rFonts w:ascii="GHEA Grapalat" w:hAnsi="GHEA Grapalat"/>
          <w:b/>
          <w:sz w:val="24"/>
          <w:szCs w:val="24"/>
          <w:lang w:val="hy-AM"/>
        </w:rPr>
        <w:t>ՀԻՄՆԱԴՐՄԱՆ</w:t>
      </w:r>
      <w:r w:rsidR="00424F0F" w:rsidRPr="009E05DA">
        <w:rPr>
          <w:rFonts w:ascii="GHEA Grapalat" w:hAnsi="GHEA Grapalat"/>
          <w:b/>
          <w:sz w:val="24"/>
          <w:szCs w:val="24"/>
          <w:lang w:val="af-ZA"/>
        </w:rPr>
        <w:t xml:space="preserve"> 2800-</w:t>
      </w:r>
      <w:r w:rsidR="00424F0F" w:rsidRPr="009E05DA">
        <w:rPr>
          <w:rFonts w:ascii="GHEA Grapalat" w:hAnsi="GHEA Grapalat"/>
          <w:b/>
          <w:sz w:val="24"/>
          <w:szCs w:val="24"/>
          <w:lang w:val="hy-AM"/>
        </w:rPr>
        <w:t>ԱՄՅԱԿԻ</w:t>
      </w:r>
      <w:r w:rsidR="00424F0F" w:rsidRPr="009E05DA">
        <w:rPr>
          <w:rFonts w:ascii="GHEA Grapalat" w:hAnsi="GHEA Grapalat"/>
          <w:b/>
          <w:sz w:val="24"/>
          <w:szCs w:val="24"/>
          <w:lang w:val="af-ZA"/>
        </w:rPr>
        <w:t xml:space="preserve"> </w:t>
      </w:r>
      <w:r w:rsidR="00C12D4C" w:rsidRPr="009E05DA">
        <w:rPr>
          <w:rFonts w:ascii="GHEA Grapalat" w:hAnsi="GHEA Grapalat"/>
          <w:b/>
          <w:sz w:val="24"/>
          <w:szCs w:val="24"/>
          <w:lang w:val="hy-AM"/>
        </w:rPr>
        <w:t>ԵՎ</w:t>
      </w:r>
      <w:r w:rsidR="00424F0F" w:rsidRPr="009E05DA">
        <w:rPr>
          <w:rFonts w:ascii="GHEA Grapalat" w:hAnsi="GHEA Grapalat"/>
          <w:b/>
          <w:sz w:val="24"/>
          <w:szCs w:val="24"/>
          <w:lang w:val="af-ZA"/>
        </w:rPr>
        <w:t xml:space="preserve"> </w:t>
      </w:r>
      <w:r w:rsidR="00424F0F" w:rsidRPr="009E05DA">
        <w:rPr>
          <w:rFonts w:ascii="GHEA Grapalat" w:hAnsi="GHEA Grapalat"/>
          <w:b/>
          <w:sz w:val="24"/>
          <w:szCs w:val="24"/>
          <w:lang w:val="hy-AM"/>
        </w:rPr>
        <w:t>ՀԱՅԱՍՏԱՆԻ</w:t>
      </w:r>
      <w:r w:rsidR="00424F0F" w:rsidRPr="009E05DA">
        <w:rPr>
          <w:rFonts w:ascii="GHEA Grapalat" w:hAnsi="GHEA Grapalat"/>
          <w:b/>
          <w:sz w:val="24"/>
          <w:szCs w:val="24"/>
          <w:lang w:val="af-ZA"/>
        </w:rPr>
        <w:t xml:space="preserve"> </w:t>
      </w:r>
      <w:r w:rsidR="00424F0F" w:rsidRPr="009E05DA">
        <w:rPr>
          <w:rFonts w:ascii="GHEA Grapalat" w:hAnsi="GHEA Grapalat"/>
          <w:b/>
          <w:sz w:val="24"/>
          <w:szCs w:val="24"/>
          <w:lang w:val="hy-AM"/>
        </w:rPr>
        <w:t>ԱՌԱՋԻՆ</w:t>
      </w:r>
      <w:r w:rsidR="00424F0F" w:rsidRPr="009E05DA">
        <w:rPr>
          <w:rFonts w:ascii="GHEA Grapalat" w:hAnsi="GHEA Grapalat"/>
          <w:b/>
          <w:sz w:val="24"/>
          <w:szCs w:val="24"/>
          <w:lang w:val="af-ZA"/>
        </w:rPr>
        <w:t xml:space="preserve"> </w:t>
      </w:r>
      <w:r w:rsidR="00424F0F" w:rsidRPr="009E05DA">
        <w:rPr>
          <w:rFonts w:ascii="GHEA Grapalat" w:hAnsi="GHEA Grapalat"/>
          <w:b/>
          <w:sz w:val="24"/>
          <w:szCs w:val="24"/>
          <w:lang w:val="hy-AM"/>
        </w:rPr>
        <w:t>ՀԱՆՐԱՊԵՏՈՒԹՅԱՆ</w:t>
      </w:r>
      <w:r w:rsidR="00424F0F" w:rsidRPr="009E05DA">
        <w:rPr>
          <w:rFonts w:ascii="GHEA Grapalat" w:hAnsi="GHEA Grapalat"/>
          <w:b/>
          <w:sz w:val="24"/>
          <w:szCs w:val="24"/>
          <w:lang w:val="af-ZA"/>
        </w:rPr>
        <w:t xml:space="preserve"> </w:t>
      </w:r>
      <w:r w:rsidR="00424F0F" w:rsidRPr="009E05DA">
        <w:rPr>
          <w:rFonts w:ascii="GHEA Grapalat" w:hAnsi="GHEA Grapalat"/>
          <w:b/>
          <w:sz w:val="24"/>
          <w:szCs w:val="24"/>
          <w:lang w:val="hy-AM"/>
        </w:rPr>
        <w:t>ԱՆԿԱԽՈՒԹՅԱՆ</w:t>
      </w:r>
      <w:r w:rsidR="00424F0F" w:rsidRPr="009E05DA">
        <w:rPr>
          <w:rFonts w:ascii="GHEA Grapalat" w:hAnsi="GHEA Grapalat"/>
          <w:b/>
          <w:sz w:val="24"/>
          <w:szCs w:val="24"/>
          <w:lang w:val="af-ZA"/>
        </w:rPr>
        <w:t xml:space="preserve"> </w:t>
      </w:r>
      <w:r w:rsidR="00424F0F" w:rsidRPr="009E05DA">
        <w:rPr>
          <w:rFonts w:ascii="GHEA Grapalat" w:hAnsi="GHEA Grapalat"/>
          <w:b/>
          <w:sz w:val="24"/>
          <w:szCs w:val="24"/>
          <w:lang w:val="hy-AM"/>
        </w:rPr>
        <w:t>ՀՌՉԱԿՄԱՆ</w:t>
      </w:r>
      <w:r w:rsidR="00424F0F" w:rsidRPr="009E05DA">
        <w:rPr>
          <w:rFonts w:ascii="GHEA Grapalat" w:hAnsi="GHEA Grapalat"/>
          <w:b/>
          <w:sz w:val="24"/>
          <w:szCs w:val="24"/>
          <w:lang w:val="af-ZA"/>
        </w:rPr>
        <w:t xml:space="preserve"> 100-</w:t>
      </w:r>
      <w:r w:rsidR="00424F0F" w:rsidRPr="009E05DA">
        <w:rPr>
          <w:rFonts w:ascii="GHEA Grapalat" w:hAnsi="GHEA Grapalat"/>
          <w:b/>
          <w:sz w:val="24"/>
          <w:szCs w:val="24"/>
          <w:lang w:val="hy-AM"/>
        </w:rPr>
        <w:t>ԱՄՅԱԿԻ</w:t>
      </w:r>
      <w:r w:rsidR="00424F0F" w:rsidRPr="009E05DA">
        <w:rPr>
          <w:rFonts w:ascii="GHEA Grapalat" w:hAnsi="GHEA Grapalat"/>
          <w:b/>
          <w:sz w:val="24"/>
          <w:szCs w:val="24"/>
          <w:lang w:val="af-ZA"/>
        </w:rPr>
        <w:t xml:space="preserve"> </w:t>
      </w:r>
      <w:r w:rsidR="00424F0F" w:rsidRPr="009E05DA">
        <w:rPr>
          <w:rFonts w:ascii="GHEA Grapalat" w:hAnsi="GHEA Grapalat"/>
          <w:b/>
          <w:sz w:val="24"/>
          <w:szCs w:val="24"/>
          <w:lang w:val="hy-AM"/>
        </w:rPr>
        <w:t>ԿԱՊԱԿՑՈՒԹՅԱՄԲ</w:t>
      </w:r>
      <w:r w:rsidR="00424F0F" w:rsidRPr="009E05DA">
        <w:rPr>
          <w:rFonts w:ascii="GHEA Grapalat" w:hAnsi="GHEA Grapalat"/>
          <w:b/>
          <w:sz w:val="24"/>
          <w:szCs w:val="24"/>
          <w:lang w:val="af-ZA"/>
        </w:rPr>
        <w:t xml:space="preserve"> </w:t>
      </w:r>
      <w:r w:rsidR="00424F0F" w:rsidRPr="009E05DA">
        <w:rPr>
          <w:rFonts w:ascii="GHEA Grapalat" w:hAnsi="GHEA Grapalat"/>
          <w:b/>
          <w:sz w:val="24"/>
          <w:szCs w:val="24"/>
          <w:lang w:val="hy-AM"/>
        </w:rPr>
        <w:t>ՔՐԵԱԿԱՆ</w:t>
      </w:r>
      <w:r w:rsidR="00424F0F" w:rsidRPr="009E05DA">
        <w:rPr>
          <w:rFonts w:ascii="GHEA Grapalat" w:hAnsi="GHEA Grapalat"/>
          <w:b/>
          <w:sz w:val="24"/>
          <w:szCs w:val="24"/>
          <w:lang w:val="af-ZA"/>
        </w:rPr>
        <w:t xml:space="preserve"> </w:t>
      </w:r>
      <w:r w:rsidR="00424F0F" w:rsidRPr="009E05DA">
        <w:rPr>
          <w:rFonts w:ascii="GHEA Grapalat" w:hAnsi="GHEA Grapalat"/>
          <w:b/>
          <w:sz w:val="24"/>
          <w:szCs w:val="24"/>
          <w:lang w:val="hy-AM"/>
        </w:rPr>
        <w:t>ԳՈՐԾԵՐՈՎ</w:t>
      </w:r>
      <w:r w:rsidR="00424F0F" w:rsidRPr="009E05DA">
        <w:rPr>
          <w:rFonts w:ascii="GHEA Grapalat" w:hAnsi="GHEA Grapalat"/>
          <w:b/>
          <w:sz w:val="24"/>
          <w:szCs w:val="24"/>
          <w:lang w:val="af-ZA"/>
        </w:rPr>
        <w:t xml:space="preserve"> </w:t>
      </w:r>
      <w:r w:rsidR="00424F0F" w:rsidRPr="009E05DA">
        <w:rPr>
          <w:rFonts w:ascii="GHEA Grapalat" w:hAnsi="GHEA Grapalat"/>
          <w:b/>
          <w:sz w:val="24"/>
          <w:szCs w:val="24"/>
          <w:lang w:val="hy-AM"/>
        </w:rPr>
        <w:t>ՀԱՄԱՆԵՐՈՒՄ</w:t>
      </w:r>
      <w:r w:rsidR="00424F0F" w:rsidRPr="009E05DA">
        <w:rPr>
          <w:rFonts w:ascii="GHEA Grapalat" w:hAnsi="GHEA Grapalat"/>
          <w:b/>
          <w:sz w:val="24"/>
          <w:szCs w:val="24"/>
          <w:lang w:val="af-ZA"/>
        </w:rPr>
        <w:t xml:space="preserve"> </w:t>
      </w:r>
      <w:r w:rsidR="00424F0F" w:rsidRPr="009E05DA">
        <w:rPr>
          <w:rFonts w:ascii="GHEA Grapalat" w:hAnsi="GHEA Grapalat"/>
          <w:b/>
          <w:sz w:val="24"/>
          <w:szCs w:val="24"/>
          <w:lang w:val="hy-AM"/>
        </w:rPr>
        <w:t>ՀԱՅՏԱՐԱՐԵԼՈՒ</w:t>
      </w:r>
      <w:r w:rsidR="00424F0F" w:rsidRPr="009E05DA">
        <w:rPr>
          <w:rFonts w:ascii="GHEA Grapalat" w:hAnsi="GHEA Grapalat"/>
          <w:b/>
          <w:sz w:val="24"/>
          <w:szCs w:val="24"/>
          <w:lang w:val="af-ZA"/>
        </w:rPr>
        <w:t xml:space="preserve"> </w:t>
      </w:r>
      <w:r w:rsidR="00424F0F" w:rsidRPr="009E05DA">
        <w:rPr>
          <w:rFonts w:ascii="GHEA Grapalat" w:hAnsi="GHEA Grapalat"/>
          <w:b/>
          <w:sz w:val="24"/>
          <w:szCs w:val="24"/>
          <w:lang w:val="hy-AM"/>
        </w:rPr>
        <w:t>ՄԱՍԻՆ</w:t>
      </w:r>
      <w:r w:rsidR="00424F0F" w:rsidRPr="009E05DA">
        <w:rPr>
          <w:rFonts w:ascii="GHEA Grapalat" w:hAnsi="GHEA Grapalat"/>
          <w:b/>
          <w:sz w:val="24"/>
          <w:szCs w:val="24"/>
          <w:lang w:val="af-ZA"/>
        </w:rPr>
        <w:t xml:space="preserve">» 2018 </w:t>
      </w:r>
      <w:r w:rsidR="00424F0F" w:rsidRPr="009E05DA">
        <w:rPr>
          <w:rFonts w:ascii="GHEA Grapalat" w:hAnsi="GHEA Grapalat"/>
          <w:b/>
          <w:sz w:val="24"/>
          <w:szCs w:val="24"/>
          <w:lang w:val="hy-AM"/>
        </w:rPr>
        <w:t>ԹՎԱԿԱՆԻ</w:t>
      </w:r>
      <w:r w:rsidR="00424F0F" w:rsidRPr="009E05DA">
        <w:rPr>
          <w:rFonts w:ascii="GHEA Grapalat" w:hAnsi="GHEA Grapalat"/>
          <w:b/>
          <w:sz w:val="24"/>
          <w:szCs w:val="24"/>
          <w:lang w:val="af-ZA"/>
        </w:rPr>
        <w:t xml:space="preserve"> </w:t>
      </w:r>
      <w:r w:rsidR="00424F0F" w:rsidRPr="009E05DA">
        <w:rPr>
          <w:rFonts w:ascii="GHEA Grapalat" w:hAnsi="GHEA Grapalat"/>
          <w:b/>
          <w:sz w:val="24"/>
          <w:szCs w:val="24"/>
          <w:lang w:val="hy-AM"/>
        </w:rPr>
        <w:t>ՆՈՅԵՄԲԵՐԻ</w:t>
      </w:r>
      <w:r w:rsidR="00424F0F" w:rsidRPr="009E05DA">
        <w:rPr>
          <w:rFonts w:ascii="GHEA Grapalat" w:hAnsi="GHEA Grapalat"/>
          <w:b/>
          <w:sz w:val="24"/>
          <w:szCs w:val="24"/>
          <w:lang w:val="af-ZA"/>
        </w:rPr>
        <w:t xml:space="preserve"> 1-</w:t>
      </w:r>
      <w:r w:rsidR="00424F0F" w:rsidRPr="009E05DA">
        <w:rPr>
          <w:rFonts w:ascii="GHEA Grapalat" w:hAnsi="GHEA Grapalat"/>
          <w:b/>
          <w:sz w:val="24"/>
          <w:szCs w:val="24"/>
          <w:lang w:val="hy-AM"/>
        </w:rPr>
        <w:t>ԻՆ</w:t>
      </w:r>
      <w:r w:rsidR="00424F0F" w:rsidRPr="009E05DA">
        <w:rPr>
          <w:rFonts w:ascii="GHEA Grapalat" w:hAnsi="GHEA Grapalat"/>
          <w:b/>
          <w:sz w:val="24"/>
          <w:szCs w:val="24"/>
          <w:lang w:val="af-ZA"/>
        </w:rPr>
        <w:t xml:space="preserve"> </w:t>
      </w:r>
      <w:r w:rsidR="00424F0F" w:rsidRPr="009E05DA">
        <w:rPr>
          <w:rFonts w:ascii="GHEA Grapalat" w:hAnsi="GHEA Grapalat"/>
          <w:b/>
          <w:sz w:val="24"/>
          <w:szCs w:val="24"/>
          <w:lang w:val="hy-AM"/>
        </w:rPr>
        <w:t>ԸՆԴՈՒՆՎԱԾ</w:t>
      </w:r>
      <w:r w:rsidR="00424F0F" w:rsidRPr="009E05DA">
        <w:rPr>
          <w:rFonts w:ascii="GHEA Grapalat" w:hAnsi="GHEA Grapalat"/>
          <w:b/>
          <w:sz w:val="24"/>
          <w:szCs w:val="24"/>
          <w:lang w:val="af-ZA"/>
        </w:rPr>
        <w:t xml:space="preserve"> </w:t>
      </w:r>
      <w:r w:rsidR="00424F0F" w:rsidRPr="009E05DA">
        <w:rPr>
          <w:rFonts w:ascii="GHEA Grapalat" w:hAnsi="GHEA Grapalat"/>
          <w:b/>
          <w:sz w:val="24"/>
          <w:szCs w:val="24"/>
          <w:lang w:val="hy-AM"/>
        </w:rPr>
        <w:t>ՀՀ</w:t>
      </w:r>
      <w:r w:rsidR="00424F0F" w:rsidRPr="009E05DA">
        <w:rPr>
          <w:rFonts w:ascii="GHEA Grapalat" w:hAnsi="GHEA Grapalat"/>
          <w:b/>
          <w:sz w:val="24"/>
          <w:szCs w:val="24"/>
          <w:lang w:val="af-ZA"/>
        </w:rPr>
        <w:t xml:space="preserve"> </w:t>
      </w:r>
      <w:r w:rsidR="00424F0F" w:rsidRPr="009E05DA">
        <w:rPr>
          <w:rFonts w:ascii="GHEA Grapalat" w:hAnsi="GHEA Grapalat"/>
          <w:b/>
          <w:sz w:val="24"/>
          <w:szCs w:val="24"/>
          <w:lang w:val="hy-AM"/>
        </w:rPr>
        <w:t>ՕՐԵՆՔԻ</w:t>
      </w:r>
      <w:r w:rsidR="00424F0F" w:rsidRPr="009E05DA">
        <w:rPr>
          <w:rFonts w:ascii="GHEA Grapalat" w:hAnsi="GHEA Grapalat"/>
          <w:b/>
          <w:sz w:val="24"/>
          <w:szCs w:val="24"/>
          <w:lang w:val="af-ZA"/>
        </w:rPr>
        <w:t xml:space="preserve"> 4-</w:t>
      </w:r>
      <w:r w:rsidR="00424F0F" w:rsidRPr="009E05DA">
        <w:rPr>
          <w:rFonts w:ascii="GHEA Grapalat" w:hAnsi="GHEA Grapalat"/>
          <w:b/>
          <w:sz w:val="24"/>
          <w:szCs w:val="24"/>
          <w:lang w:val="hy-AM"/>
        </w:rPr>
        <w:t>ՐԴ</w:t>
      </w:r>
      <w:r w:rsidR="00424F0F" w:rsidRPr="009E05DA">
        <w:rPr>
          <w:rFonts w:ascii="GHEA Grapalat" w:hAnsi="GHEA Grapalat"/>
          <w:b/>
          <w:sz w:val="24"/>
          <w:szCs w:val="24"/>
          <w:lang w:val="af-ZA"/>
        </w:rPr>
        <w:t xml:space="preserve"> </w:t>
      </w:r>
      <w:r w:rsidR="00424F0F" w:rsidRPr="009E05DA">
        <w:rPr>
          <w:rFonts w:ascii="GHEA Grapalat" w:hAnsi="GHEA Grapalat"/>
          <w:b/>
          <w:sz w:val="24"/>
          <w:szCs w:val="24"/>
          <w:lang w:val="hy-AM"/>
        </w:rPr>
        <w:t>ՀՈԴՎԱԾԻ</w:t>
      </w:r>
      <w:r w:rsidR="00424F0F" w:rsidRPr="009E05DA">
        <w:rPr>
          <w:rFonts w:ascii="GHEA Grapalat" w:hAnsi="GHEA Grapalat"/>
          <w:b/>
          <w:sz w:val="24"/>
          <w:szCs w:val="24"/>
          <w:lang w:val="af-ZA"/>
        </w:rPr>
        <w:t xml:space="preserve"> 2-</w:t>
      </w:r>
      <w:r w:rsidR="00424F0F" w:rsidRPr="009E05DA">
        <w:rPr>
          <w:rFonts w:ascii="GHEA Grapalat" w:hAnsi="GHEA Grapalat"/>
          <w:b/>
          <w:sz w:val="24"/>
          <w:szCs w:val="24"/>
          <w:lang w:val="hy-AM"/>
        </w:rPr>
        <w:t>ՐԴ</w:t>
      </w:r>
      <w:r w:rsidR="00424F0F" w:rsidRPr="009E05DA">
        <w:rPr>
          <w:rFonts w:ascii="GHEA Grapalat" w:hAnsi="GHEA Grapalat"/>
          <w:b/>
          <w:sz w:val="24"/>
          <w:szCs w:val="24"/>
          <w:lang w:val="af-ZA"/>
        </w:rPr>
        <w:t xml:space="preserve"> </w:t>
      </w:r>
      <w:r w:rsidR="00424F0F" w:rsidRPr="009E05DA">
        <w:rPr>
          <w:rFonts w:ascii="GHEA Grapalat" w:hAnsi="GHEA Grapalat"/>
          <w:b/>
          <w:sz w:val="24"/>
          <w:szCs w:val="24"/>
          <w:lang w:val="hy-AM"/>
        </w:rPr>
        <w:t>ՄԱՍԻ</w:t>
      </w:r>
      <w:r w:rsidR="00424F0F" w:rsidRPr="009E05DA">
        <w:rPr>
          <w:rFonts w:ascii="GHEA Grapalat" w:hAnsi="GHEA Grapalat"/>
          <w:b/>
          <w:sz w:val="24"/>
          <w:szCs w:val="24"/>
          <w:lang w:val="af-ZA"/>
        </w:rPr>
        <w:t xml:space="preserve"> </w:t>
      </w:r>
      <w:r w:rsidR="00424F0F" w:rsidRPr="009E05DA">
        <w:rPr>
          <w:rFonts w:ascii="GHEA Grapalat" w:hAnsi="GHEA Grapalat"/>
          <w:b/>
          <w:sz w:val="24"/>
          <w:szCs w:val="24"/>
          <w:lang w:val="hy-AM"/>
        </w:rPr>
        <w:t>ԵՎ</w:t>
      </w:r>
      <w:r w:rsidR="00424F0F" w:rsidRPr="009E05DA">
        <w:rPr>
          <w:rFonts w:ascii="GHEA Grapalat" w:hAnsi="GHEA Grapalat"/>
          <w:b/>
          <w:sz w:val="24"/>
          <w:szCs w:val="24"/>
          <w:lang w:val="af-ZA"/>
        </w:rPr>
        <w:t xml:space="preserve"> </w:t>
      </w:r>
      <w:r w:rsidR="00424F0F" w:rsidRPr="009E05DA">
        <w:rPr>
          <w:rFonts w:ascii="GHEA Grapalat" w:hAnsi="GHEA Grapalat"/>
          <w:b/>
          <w:sz w:val="24"/>
          <w:szCs w:val="24"/>
          <w:lang w:val="hy-AM"/>
        </w:rPr>
        <w:t>ԴՐԱ</w:t>
      </w:r>
      <w:r w:rsidR="00424F0F" w:rsidRPr="009E05DA">
        <w:rPr>
          <w:rFonts w:ascii="GHEA Grapalat" w:hAnsi="GHEA Grapalat"/>
          <w:b/>
          <w:sz w:val="24"/>
          <w:szCs w:val="24"/>
          <w:lang w:val="af-ZA"/>
        </w:rPr>
        <w:t xml:space="preserve">  </w:t>
      </w:r>
      <w:r w:rsidR="00424F0F" w:rsidRPr="009E05DA">
        <w:rPr>
          <w:rFonts w:ascii="GHEA Grapalat" w:hAnsi="GHEA Grapalat"/>
          <w:b/>
          <w:sz w:val="24"/>
          <w:szCs w:val="24"/>
          <w:lang w:val="hy-AM"/>
        </w:rPr>
        <w:t>ՀԵՏ</w:t>
      </w:r>
      <w:r w:rsidR="00424F0F" w:rsidRPr="009E05DA">
        <w:rPr>
          <w:rFonts w:ascii="GHEA Grapalat" w:hAnsi="GHEA Grapalat"/>
          <w:b/>
          <w:sz w:val="24"/>
          <w:szCs w:val="24"/>
          <w:lang w:val="af-ZA"/>
        </w:rPr>
        <w:t xml:space="preserve"> </w:t>
      </w:r>
      <w:r w:rsidR="00424F0F" w:rsidRPr="009E05DA">
        <w:rPr>
          <w:rFonts w:ascii="GHEA Grapalat" w:hAnsi="GHEA Grapalat"/>
          <w:b/>
          <w:sz w:val="24"/>
          <w:szCs w:val="24"/>
          <w:lang w:val="hy-AM"/>
        </w:rPr>
        <w:t>ՓՈԽԿԱՊԱԿՑՎԱԾ</w:t>
      </w:r>
      <w:r w:rsidR="00424F0F" w:rsidRPr="009E05DA">
        <w:rPr>
          <w:rFonts w:ascii="GHEA Grapalat" w:hAnsi="GHEA Grapalat"/>
          <w:b/>
          <w:sz w:val="24"/>
          <w:szCs w:val="24"/>
          <w:lang w:val="af-ZA"/>
        </w:rPr>
        <w:t xml:space="preserve"> 2-</w:t>
      </w:r>
      <w:r w:rsidR="00424F0F" w:rsidRPr="009E05DA">
        <w:rPr>
          <w:rFonts w:ascii="GHEA Grapalat" w:hAnsi="GHEA Grapalat"/>
          <w:b/>
          <w:sz w:val="24"/>
          <w:szCs w:val="24"/>
          <w:lang w:val="hy-AM"/>
        </w:rPr>
        <w:t>ՐԴ</w:t>
      </w:r>
      <w:r w:rsidR="00424F0F" w:rsidRPr="009E05DA">
        <w:rPr>
          <w:rFonts w:ascii="GHEA Grapalat" w:hAnsi="GHEA Grapalat"/>
          <w:b/>
          <w:sz w:val="24"/>
          <w:szCs w:val="24"/>
          <w:lang w:val="af-ZA"/>
        </w:rPr>
        <w:t xml:space="preserve"> </w:t>
      </w:r>
      <w:r w:rsidR="00424F0F" w:rsidRPr="009E05DA">
        <w:rPr>
          <w:rFonts w:ascii="GHEA Grapalat" w:hAnsi="GHEA Grapalat"/>
          <w:b/>
          <w:sz w:val="24"/>
          <w:szCs w:val="24"/>
          <w:lang w:val="hy-AM"/>
        </w:rPr>
        <w:t>ՀՈԴՎԱԾԻ</w:t>
      </w:r>
      <w:r w:rsidR="00424F0F" w:rsidRPr="009E05DA">
        <w:rPr>
          <w:rFonts w:ascii="GHEA Grapalat" w:hAnsi="GHEA Grapalat"/>
          <w:b/>
          <w:sz w:val="24"/>
          <w:szCs w:val="24"/>
          <w:lang w:val="af-ZA"/>
        </w:rPr>
        <w:t xml:space="preserve"> 10-</w:t>
      </w:r>
      <w:r w:rsidR="00424F0F" w:rsidRPr="009E05DA">
        <w:rPr>
          <w:rFonts w:ascii="GHEA Grapalat" w:hAnsi="GHEA Grapalat"/>
          <w:b/>
          <w:sz w:val="24"/>
          <w:szCs w:val="24"/>
          <w:lang w:val="hy-AM"/>
        </w:rPr>
        <w:t>ՐԴ</w:t>
      </w:r>
      <w:r w:rsidR="00424F0F" w:rsidRPr="009E05DA">
        <w:rPr>
          <w:rFonts w:ascii="GHEA Grapalat" w:hAnsi="GHEA Grapalat"/>
          <w:b/>
          <w:sz w:val="24"/>
          <w:szCs w:val="24"/>
          <w:lang w:val="af-ZA"/>
        </w:rPr>
        <w:t xml:space="preserve"> </w:t>
      </w:r>
      <w:r w:rsidR="00D167E3" w:rsidRPr="009E05DA">
        <w:rPr>
          <w:rFonts w:ascii="GHEA Grapalat" w:hAnsi="GHEA Grapalat"/>
          <w:b/>
          <w:sz w:val="24"/>
          <w:szCs w:val="24"/>
          <w:lang w:val="hy-AM"/>
        </w:rPr>
        <w:t>ՄԱՍԻ</w:t>
      </w:r>
      <w:r w:rsidR="00424F0F" w:rsidRPr="009E05DA">
        <w:rPr>
          <w:rFonts w:ascii="GHEA Grapalat" w:hAnsi="GHEA Grapalat"/>
          <w:b/>
          <w:sz w:val="24"/>
          <w:szCs w:val="24"/>
          <w:lang w:val="hy-AM"/>
        </w:rPr>
        <w:t>՝</w:t>
      </w:r>
      <w:r w:rsidR="00424F0F" w:rsidRPr="009E05DA">
        <w:rPr>
          <w:rFonts w:ascii="GHEA Grapalat" w:hAnsi="GHEA Grapalat"/>
          <w:b/>
          <w:sz w:val="24"/>
          <w:szCs w:val="24"/>
          <w:lang w:val="af-ZA"/>
        </w:rPr>
        <w:t xml:space="preserve"> </w:t>
      </w:r>
      <w:r w:rsidR="00424F0F" w:rsidRPr="009E05DA">
        <w:rPr>
          <w:rFonts w:ascii="GHEA Grapalat" w:hAnsi="GHEA Grapalat"/>
          <w:b/>
          <w:sz w:val="24"/>
          <w:szCs w:val="24"/>
          <w:lang w:val="hy-AM"/>
        </w:rPr>
        <w:t>ՍԱՀՄԱՆԱԴՐՈՒԹՅԱՆԸ</w:t>
      </w:r>
      <w:r w:rsidR="00424F0F" w:rsidRPr="009E05DA">
        <w:rPr>
          <w:rFonts w:ascii="GHEA Grapalat" w:hAnsi="GHEA Grapalat"/>
          <w:b/>
          <w:sz w:val="24"/>
          <w:szCs w:val="24"/>
          <w:lang w:val="af-ZA"/>
        </w:rPr>
        <w:t xml:space="preserve"> </w:t>
      </w:r>
      <w:r w:rsidR="00424F0F" w:rsidRPr="009E05DA">
        <w:rPr>
          <w:rFonts w:ascii="GHEA Grapalat" w:hAnsi="GHEA Grapalat"/>
          <w:b/>
          <w:sz w:val="24"/>
          <w:szCs w:val="24"/>
          <w:lang w:val="hy-AM"/>
        </w:rPr>
        <w:t>ՀԱՄԱՊԱՏԱՍԽԱՆՈՒԹՅԱՆ</w:t>
      </w:r>
      <w:r w:rsidR="00424F0F" w:rsidRPr="009E05DA">
        <w:rPr>
          <w:rFonts w:ascii="GHEA Grapalat" w:hAnsi="GHEA Grapalat"/>
          <w:b/>
          <w:sz w:val="24"/>
          <w:szCs w:val="24"/>
          <w:lang w:val="af-ZA"/>
        </w:rPr>
        <w:t xml:space="preserve"> </w:t>
      </w:r>
      <w:r w:rsidR="00424F0F" w:rsidRPr="009E05DA">
        <w:rPr>
          <w:rFonts w:ascii="GHEA Grapalat" w:hAnsi="GHEA Grapalat"/>
          <w:b/>
          <w:sz w:val="24"/>
          <w:szCs w:val="24"/>
          <w:lang w:val="hy-AM"/>
        </w:rPr>
        <w:t>ՀԱՐՑԸ</w:t>
      </w:r>
      <w:r w:rsidR="00424F0F" w:rsidRPr="009E05DA">
        <w:rPr>
          <w:rFonts w:ascii="GHEA Grapalat" w:hAnsi="GHEA Grapalat"/>
          <w:b/>
          <w:sz w:val="24"/>
          <w:szCs w:val="24"/>
          <w:lang w:val="af-ZA"/>
        </w:rPr>
        <w:t xml:space="preserve"> </w:t>
      </w:r>
      <w:r w:rsidR="00424F0F" w:rsidRPr="009E05DA">
        <w:rPr>
          <w:rFonts w:ascii="GHEA Grapalat" w:hAnsi="GHEA Grapalat"/>
          <w:b/>
          <w:sz w:val="24"/>
          <w:szCs w:val="24"/>
          <w:lang w:val="hy-AM"/>
        </w:rPr>
        <w:t>ՈՐՈՇԵԼՈՒ</w:t>
      </w:r>
      <w:r w:rsidR="00424F0F" w:rsidRPr="009E05DA">
        <w:rPr>
          <w:rFonts w:ascii="GHEA Grapalat" w:hAnsi="GHEA Grapalat"/>
          <w:b/>
          <w:sz w:val="24"/>
          <w:szCs w:val="24"/>
          <w:lang w:val="af-ZA"/>
        </w:rPr>
        <w:t xml:space="preserve"> </w:t>
      </w:r>
      <w:r w:rsidR="00424F0F" w:rsidRPr="009E05DA">
        <w:rPr>
          <w:rFonts w:ascii="GHEA Grapalat" w:hAnsi="GHEA Grapalat"/>
          <w:b/>
          <w:sz w:val="24"/>
          <w:szCs w:val="24"/>
          <w:lang w:val="hy-AM"/>
        </w:rPr>
        <w:t>ՎԵՐԱԲԵՐՅԱԼ</w:t>
      </w:r>
      <w:r w:rsidR="00424F0F" w:rsidRPr="009E05DA">
        <w:rPr>
          <w:rFonts w:ascii="GHEA Grapalat" w:hAnsi="GHEA Grapalat"/>
          <w:b/>
          <w:sz w:val="24"/>
          <w:szCs w:val="24"/>
          <w:lang w:val="af-ZA"/>
        </w:rPr>
        <w:t>» ԳՈՐԾ</w:t>
      </w:r>
      <w:r w:rsidR="00424F0F" w:rsidRPr="009E05DA">
        <w:rPr>
          <w:rFonts w:ascii="GHEA Grapalat" w:hAnsi="GHEA Grapalat"/>
          <w:b/>
          <w:sz w:val="24"/>
          <w:szCs w:val="24"/>
          <w:lang w:val="hy-AM"/>
        </w:rPr>
        <w:t xml:space="preserve">Ի </w:t>
      </w:r>
      <w:r w:rsidRPr="009E05DA">
        <w:rPr>
          <w:rFonts w:ascii="GHEA Grapalat" w:hAnsi="GHEA Grapalat"/>
          <w:b/>
          <w:sz w:val="24"/>
          <w:szCs w:val="24"/>
          <w:lang w:val="hy-AM"/>
        </w:rPr>
        <w:t>ԿԱՊԱԿՑՈՒԹՅԱՄԲ</w:t>
      </w:r>
    </w:p>
    <w:p w:rsidR="000965B4" w:rsidRPr="009E05DA" w:rsidRDefault="000965B4" w:rsidP="00B233B4">
      <w:pPr>
        <w:spacing w:after="0" w:line="360" w:lineRule="auto"/>
        <w:jc w:val="center"/>
        <w:rPr>
          <w:rFonts w:ascii="GHEA Grapalat" w:hAnsi="GHEA Grapalat"/>
          <w:b/>
          <w:sz w:val="24"/>
          <w:szCs w:val="24"/>
          <w:lang w:val="hy-AM"/>
        </w:rPr>
      </w:pPr>
    </w:p>
    <w:p w:rsidR="000965B4" w:rsidRPr="009E05DA" w:rsidRDefault="000965B4" w:rsidP="00B233B4">
      <w:pPr>
        <w:spacing w:after="0" w:line="360" w:lineRule="auto"/>
        <w:rPr>
          <w:rFonts w:ascii="GHEA Grapalat" w:hAnsi="GHEA Grapalat"/>
          <w:b/>
          <w:sz w:val="24"/>
          <w:szCs w:val="24"/>
          <w:u w:val="single"/>
          <w:lang w:val="hy-AM"/>
        </w:rPr>
      </w:pPr>
      <w:r w:rsidRPr="009E05DA">
        <w:rPr>
          <w:rFonts w:ascii="GHEA Grapalat" w:hAnsi="GHEA Grapalat"/>
          <w:b/>
          <w:sz w:val="24"/>
          <w:szCs w:val="24"/>
          <w:u w:val="single"/>
          <w:lang w:val="hy-AM"/>
        </w:rPr>
        <w:t>Դիմող կողմի պահանջը</w:t>
      </w:r>
    </w:p>
    <w:p w:rsidR="000965B4" w:rsidRPr="009E05DA" w:rsidRDefault="000965B4" w:rsidP="00B233B4">
      <w:pPr>
        <w:spacing w:after="0" w:line="360" w:lineRule="auto"/>
        <w:ind w:firstLine="720"/>
        <w:jc w:val="both"/>
        <w:rPr>
          <w:rFonts w:ascii="GHEA Grapalat" w:hAnsi="GHEA Grapalat"/>
          <w:sz w:val="24"/>
          <w:szCs w:val="24"/>
          <w:lang w:val="hy-AM"/>
        </w:rPr>
      </w:pPr>
      <w:r w:rsidRPr="009E05DA">
        <w:rPr>
          <w:rFonts w:ascii="GHEA Grapalat" w:hAnsi="GHEA Grapalat"/>
          <w:sz w:val="24"/>
          <w:szCs w:val="24"/>
          <w:lang w:val="hy-AM"/>
        </w:rPr>
        <w:t xml:space="preserve">ՀՀ </w:t>
      </w:r>
      <w:r w:rsidR="005C315A" w:rsidRPr="009E05DA">
        <w:rPr>
          <w:rFonts w:ascii="GHEA Grapalat" w:hAnsi="GHEA Grapalat"/>
          <w:sz w:val="24"/>
          <w:szCs w:val="24"/>
          <w:lang w:val="hy-AM"/>
        </w:rPr>
        <w:t>վերաքննիչ քրեական</w:t>
      </w:r>
      <w:r w:rsidRPr="009E05DA">
        <w:rPr>
          <w:rFonts w:ascii="GHEA Grapalat" w:hAnsi="GHEA Grapalat"/>
          <w:sz w:val="24"/>
          <w:szCs w:val="24"/>
          <w:lang w:val="hy-AM"/>
        </w:rPr>
        <w:t xml:space="preserve"> դատարանը</w:t>
      </w:r>
      <w:r w:rsidR="006A667C" w:rsidRPr="009E05DA">
        <w:rPr>
          <w:rStyle w:val="FootnoteReference"/>
          <w:rFonts w:ascii="GHEA Grapalat" w:hAnsi="GHEA Grapalat"/>
          <w:sz w:val="24"/>
          <w:szCs w:val="24"/>
          <w:lang w:val="hy-AM"/>
        </w:rPr>
        <w:footnoteReference w:id="1"/>
      </w:r>
      <w:r w:rsidR="00A41F02" w:rsidRPr="009E05DA">
        <w:rPr>
          <w:rFonts w:ascii="GHEA Grapalat" w:hAnsi="GHEA Grapalat"/>
          <w:sz w:val="24"/>
          <w:szCs w:val="24"/>
          <w:lang w:val="hy-AM"/>
        </w:rPr>
        <w:t xml:space="preserve">, </w:t>
      </w:r>
      <w:r w:rsidR="005C315A" w:rsidRPr="009E05DA">
        <w:rPr>
          <w:rFonts w:ascii="GHEA Grapalat" w:hAnsi="GHEA Grapalat"/>
          <w:sz w:val="24"/>
          <w:szCs w:val="24"/>
          <w:lang w:val="hy-AM"/>
        </w:rPr>
        <w:t>ղեկավարվելով ՀՀ Սահմանադրության</w:t>
      </w:r>
      <w:r w:rsidR="00424F0F" w:rsidRPr="009E05DA">
        <w:rPr>
          <w:rFonts w:ascii="GHEA Grapalat" w:hAnsi="GHEA Grapalat"/>
          <w:sz w:val="24"/>
          <w:szCs w:val="24"/>
          <w:lang w:val="hy-AM"/>
        </w:rPr>
        <w:t xml:space="preserve"> </w:t>
      </w:r>
      <w:r w:rsidR="00975122" w:rsidRPr="009E05DA">
        <w:rPr>
          <w:rFonts w:ascii="GHEA Grapalat" w:hAnsi="GHEA Grapalat"/>
          <w:sz w:val="24"/>
          <w:szCs w:val="24"/>
          <w:lang w:val="hy-AM"/>
        </w:rPr>
        <w:br/>
      </w:r>
      <w:r w:rsidR="00424F0F" w:rsidRPr="009E05DA">
        <w:rPr>
          <w:rFonts w:ascii="GHEA Grapalat" w:hAnsi="GHEA Grapalat"/>
          <w:sz w:val="24"/>
          <w:szCs w:val="24"/>
          <w:lang w:val="hy-AM"/>
        </w:rPr>
        <w:t>169</w:t>
      </w:r>
      <w:r w:rsidR="005C315A" w:rsidRPr="009E05DA">
        <w:rPr>
          <w:rFonts w:ascii="GHEA Grapalat" w:hAnsi="GHEA Grapalat"/>
          <w:sz w:val="24"/>
          <w:szCs w:val="24"/>
          <w:lang w:val="hy-AM"/>
        </w:rPr>
        <w:t>-րդ</w:t>
      </w:r>
      <w:r w:rsidR="007256E7" w:rsidRPr="009E05DA">
        <w:rPr>
          <w:rFonts w:ascii="GHEA Grapalat" w:hAnsi="GHEA Grapalat"/>
          <w:sz w:val="24"/>
          <w:szCs w:val="24"/>
          <w:lang w:val="hy-AM"/>
        </w:rPr>
        <w:t xml:space="preserve"> հոդվածով</w:t>
      </w:r>
      <w:r w:rsidR="005C315A" w:rsidRPr="009E05DA">
        <w:rPr>
          <w:rFonts w:ascii="GHEA Grapalat" w:hAnsi="GHEA Grapalat"/>
          <w:sz w:val="24"/>
          <w:szCs w:val="24"/>
          <w:lang w:val="hy-AM"/>
        </w:rPr>
        <w:t>, «Սահմանադրական դատարանի մասին»</w:t>
      </w:r>
      <w:r w:rsidR="005C315A" w:rsidRPr="009E05DA">
        <w:rPr>
          <w:rFonts w:ascii="GHEA Grapalat" w:hAnsi="GHEA Grapalat"/>
          <w:i/>
          <w:iCs/>
          <w:sz w:val="24"/>
          <w:szCs w:val="24"/>
          <w:lang w:val="hy-AM"/>
        </w:rPr>
        <w:t xml:space="preserve"> ՀՀ</w:t>
      </w:r>
      <w:r w:rsidR="005C315A" w:rsidRPr="009E05DA">
        <w:rPr>
          <w:rFonts w:ascii="GHEA Grapalat" w:hAnsi="GHEA Grapalat"/>
          <w:sz w:val="24"/>
          <w:szCs w:val="24"/>
          <w:lang w:val="hy-AM"/>
        </w:rPr>
        <w:t xml:space="preserve"> օրենքի </w:t>
      </w:r>
      <w:r w:rsidR="00424F0F" w:rsidRPr="009E05DA">
        <w:rPr>
          <w:rFonts w:ascii="GHEA Grapalat" w:hAnsi="GHEA Grapalat"/>
          <w:sz w:val="24"/>
          <w:szCs w:val="24"/>
          <w:lang w:val="hy-AM"/>
        </w:rPr>
        <w:t xml:space="preserve">23-րդ, 24-րդ, </w:t>
      </w:r>
      <w:r w:rsidR="005C315A" w:rsidRPr="009E05DA">
        <w:rPr>
          <w:rFonts w:ascii="GHEA Grapalat" w:hAnsi="GHEA Grapalat"/>
          <w:sz w:val="24"/>
          <w:szCs w:val="24"/>
          <w:lang w:val="hy-AM"/>
        </w:rPr>
        <w:t>25-րդ և 71-րդ հոդվածներով, ՀՀ քրեական դատավարության օրենսգրքի</w:t>
      </w:r>
      <w:r w:rsidR="00424F0F" w:rsidRPr="009E05DA">
        <w:rPr>
          <w:rFonts w:ascii="GHEA Grapalat" w:hAnsi="GHEA Grapalat"/>
          <w:sz w:val="24"/>
          <w:szCs w:val="24"/>
          <w:lang w:val="hy-AM"/>
        </w:rPr>
        <w:t xml:space="preserve"> </w:t>
      </w:r>
      <w:r w:rsidR="005C315A" w:rsidRPr="009E05DA">
        <w:rPr>
          <w:rFonts w:ascii="GHEA Grapalat" w:hAnsi="GHEA Grapalat"/>
          <w:sz w:val="24"/>
          <w:szCs w:val="24"/>
          <w:lang w:val="hy-AM"/>
        </w:rPr>
        <w:t xml:space="preserve">31-րդ </w:t>
      </w:r>
      <w:r w:rsidR="00424F0F" w:rsidRPr="009E05DA">
        <w:rPr>
          <w:rFonts w:ascii="GHEA Grapalat" w:hAnsi="GHEA Grapalat"/>
          <w:sz w:val="24"/>
          <w:szCs w:val="24"/>
          <w:lang w:val="hy-AM"/>
        </w:rPr>
        <w:t>հոդ</w:t>
      </w:r>
      <w:r w:rsidR="005C315A" w:rsidRPr="009E05DA">
        <w:rPr>
          <w:rFonts w:ascii="GHEA Grapalat" w:hAnsi="GHEA Grapalat"/>
          <w:sz w:val="24"/>
          <w:szCs w:val="24"/>
          <w:lang w:val="hy-AM"/>
        </w:rPr>
        <w:t>վածի 2-րդ մասով</w:t>
      </w:r>
      <w:r w:rsidRPr="009E05DA">
        <w:rPr>
          <w:rFonts w:ascii="GHEA Grapalat" w:hAnsi="GHEA Grapalat"/>
          <w:sz w:val="24"/>
          <w:szCs w:val="24"/>
          <w:lang w:val="hy-AM"/>
        </w:rPr>
        <w:t xml:space="preserve"> դիմել է ՀՀ սահմանադրական դատարան՝ </w:t>
      </w:r>
      <w:r w:rsidR="00424F0F" w:rsidRPr="009E05DA">
        <w:rPr>
          <w:rFonts w:ascii="GHEA Grapalat" w:hAnsi="GHEA Grapalat"/>
          <w:sz w:val="24"/>
          <w:szCs w:val="24"/>
          <w:lang w:val="af-ZA"/>
        </w:rPr>
        <w:t>«</w:t>
      </w:r>
      <w:r w:rsidR="00424F0F" w:rsidRPr="009E05DA">
        <w:rPr>
          <w:rFonts w:ascii="GHEA Grapalat" w:hAnsi="GHEA Grapalat"/>
          <w:sz w:val="24"/>
          <w:szCs w:val="24"/>
          <w:lang w:val="hy-AM"/>
        </w:rPr>
        <w:t>Էրեբունի</w:t>
      </w:r>
      <w:r w:rsidR="00424F0F" w:rsidRPr="009E05DA">
        <w:rPr>
          <w:rFonts w:ascii="GHEA Grapalat" w:hAnsi="GHEA Grapalat"/>
          <w:sz w:val="24"/>
          <w:szCs w:val="24"/>
          <w:lang w:val="af-ZA"/>
        </w:rPr>
        <w:t>-</w:t>
      </w:r>
      <w:r w:rsidR="00424F0F" w:rsidRPr="009E05DA">
        <w:rPr>
          <w:rFonts w:ascii="GHEA Grapalat" w:hAnsi="GHEA Grapalat"/>
          <w:sz w:val="24"/>
          <w:szCs w:val="24"/>
          <w:lang w:val="hy-AM"/>
        </w:rPr>
        <w:t>Եր</w:t>
      </w:r>
      <w:r w:rsidR="00424F0F" w:rsidRPr="009E05DA">
        <w:rPr>
          <w:rFonts w:ascii="GHEA Grapalat" w:hAnsi="GHEA Grapalat"/>
          <w:sz w:val="24"/>
          <w:szCs w:val="24"/>
          <w:lang w:val="af-ZA"/>
        </w:rPr>
        <w:t>և</w:t>
      </w:r>
      <w:r w:rsidR="00424F0F" w:rsidRPr="009E05DA">
        <w:rPr>
          <w:rFonts w:ascii="GHEA Grapalat" w:hAnsi="GHEA Grapalat"/>
          <w:sz w:val="24"/>
          <w:szCs w:val="24"/>
          <w:lang w:val="hy-AM"/>
        </w:rPr>
        <w:t>անի</w:t>
      </w:r>
      <w:r w:rsidR="00424F0F" w:rsidRPr="009E05DA">
        <w:rPr>
          <w:rFonts w:ascii="GHEA Grapalat" w:hAnsi="GHEA Grapalat"/>
          <w:sz w:val="24"/>
          <w:szCs w:val="24"/>
          <w:lang w:val="af-ZA"/>
        </w:rPr>
        <w:t xml:space="preserve"> </w:t>
      </w:r>
      <w:r w:rsidR="00424F0F" w:rsidRPr="009E05DA">
        <w:rPr>
          <w:rFonts w:ascii="GHEA Grapalat" w:hAnsi="GHEA Grapalat"/>
          <w:sz w:val="24"/>
          <w:szCs w:val="24"/>
          <w:lang w:val="hy-AM"/>
        </w:rPr>
        <w:t>հիմնադրման</w:t>
      </w:r>
      <w:r w:rsidR="00424F0F" w:rsidRPr="009E05DA">
        <w:rPr>
          <w:rFonts w:ascii="GHEA Grapalat" w:hAnsi="GHEA Grapalat"/>
          <w:sz w:val="24"/>
          <w:szCs w:val="24"/>
          <w:lang w:val="af-ZA"/>
        </w:rPr>
        <w:t xml:space="preserve"> 2800-</w:t>
      </w:r>
      <w:r w:rsidR="00424F0F" w:rsidRPr="009E05DA">
        <w:rPr>
          <w:rFonts w:ascii="GHEA Grapalat" w:hAnsi="GHEA Grapalat"/>
          <w:sz w:val="24"/>
          <w:szCs w:val="24"/>
          <w:lang w:val="hy-AM"/>
        </w:rPr>
        <w:t>ամյակի</w:t>
      </w:r>
      <w:r w:rsidR="00424F0F" w:rsidRPr="009E05DA">
        <w:rPr>
          <w:rFonts w:ascii="GHEA Grapalat" w:hAnsi="GHEA Grapalat"/>
          <w:sz w:val="24"/>
          <w:szCs w:val="24"/>
          <w:lang w:val="af-ZA"/>
        </w:rPr>
        <w:t xml:space="preserve"> </w:t>
      </w:r>
      <w:r w:rsidR="00424F0F" w:rsidRPr="009E05DA">
        <w:rPr>
          <w:rFonts w:ascii="GHEA Grapalat" w:hAnsi="GHEA Grapalat"/>
          <w:sz w:val="24"/>
          <w:szCs w:val="24"/>
          <w:lang w:val="hy-AM"/>
        </w:rPr>
        <w:t>և</w:t>
      </w:r>
      <w:r w:rsidR="00424F0F" w:rsidRPr="009E05DA">
        <w:rPr>
          <w:rFonts w:ascii="GHEA Grapalat" w:hAnsi="GHEA Grapalat"/>
          <w:sz w:val="24"/>
          <w:szCs w:val="24"/>
          <w:lang w:val="af-ZA"/>
        </w:rPr>
        <w:t xml:space="preserve"> </w:t>
      </w:r>
      <w:r w:rsidR="00424F0F" w:rsidRPr="009E05DA">
        <w:rPr>
          <w:rFonts w:ascii="GHEA Grapalat" w:hAnsi="GHEA Grapalat"/>
          <w:sz w:val="24"/>
          <w:szCs w:val="24"/>
          <w:lang w:val="hy-AM"/>
        </w:rPr>
        <w:t>Հայաստանի</w:t>
      </w:r>
      <w:r w:rsidR="00424F0F" w:rsidRPr="009E05DA">
        <w:rPr>
          <w:rFonts w:ascii="GHEA Grapalat" w:hAnsi="GHEA Grapalat"/>
          <w:sz w:val="24"/>
          <w:szCs w:val="24"/>
          <w:lang w:val="af-ZA"/>
        </w:rPr>
        <w:t xml:space="preserve"> </w:t>
      </w:r>
      <w:r w:rsidR="00424F0F" w:rsidRPr="009E05DA">
        <w:rPr>
          <w:rFonts w:ascii="GHEA Grapalat" w:hAnsi="GHEA Grapalat"/>
          <w:sz w:val="24"/>
          <w:szCs w:val="24"/>
          <w:lang w:val="hy-AM"/>
        </w:rPr>
        <w:t>առաջին</w:t>
      </w:r>
      <w:r w:rsidR="00424F0F" w:rsidRPr="009E05DA">
        <w:rPr>
          <w:rFonts w:ascii="GHEA Grapalat" w:hAnsi="GHEA Grapalat"/>
          <w:sz w:val="24"/>
          <w:szCs w:val="24"/>
          <w:lang w:val="af-ZA"/>
        </w:rPr>
        <w:t xml:space="preserve"> </w:t>
      </w:r>
      <w:r w:rsidR="00424F0F" w:rsidRPr="009E05DA">
        <w:rPr>
          <w:rFonts w:ascii="GHEA Grapalat" w:hAnsi="GHEA Grapalat"/>
          <w:sz w:val="24"/>
          <w:szCs w:val="24"/>
          <w:lang w:val="hy-AM"/>
        </w:rPr>
        <w:t>հանրա</w:t>
      </w:r>
      <w:r w:rsidR="00424F0F" w:rsidRPr="009E05DA">
        <w:rPr>
          <w:rFonts w:ascii="GHEA Grapalat" w:hAnsi="GHEA Grapalat"/>
          <w:sz w:val="24"/>
          <w:szCs w:val="24"/>
          <w:lang w:val="af-ZA"/>
        </w:rPr>
        <w:softHyphen/>
      </w:r>
      <w:r w:rsidR="00424F0F" w:rsidRPr="009E05DA">
        <w:rPr>
          <w:rFonts w:ascii="GHEA Grapalat" w:hAnsi="GHEA Grapalat"/>
          <w:sz w:val="24"/>
          <w:szCs w:val="24"/>
          <w:lang w:val="hy-AM"/>
        </w:rPr>
        <w:t>պետության</w:t>
      </w:r>
      <w:r w:rsidR="00424F0F" w:rsidRPr="009E05DA">
        <w:rPr>
          <w:rFonts w:ascii="GHEA Grapalat" w:hAnsi="GHEA Grapalat"/>
          <w:sz w:val="24"/>
          <w:szCs w:val="24"/>
          <w:lang w:val="af-ZA"/>
        </w:rPr>
        <w:t xml:space="preserve"> </w:t>
      </w:r>
      <w:r w:rsidR="00424F0F" w:rsidRPr="009E05DA">
        <w:rPr>
          <w:rFonts w:ascii="GHEA Grapalat" w:hAnsi="GHEA Grapalat"/>
          <w:sz w:val="24"/>
          <w:szCs w:val="24"/>
          <w:lang w:val="hy-AM"/>
        </w:rPr>
        <w:t>անկախության</w:t>
      </w:r>
      <w:r w:rsidR="00424F0F" w:rsidRPr="009E05DA">
        <w:rPr>
          <w:rFonts w:ascii="GHEA Grapalat" w:hAnsi="GHEA Grapalat"/>
          <w:sz w:val="24"/>
          <w:szCs w:val="24"/>
          <w:lang w:val="af-ZA"/>
        </w:rPr>
        <w:t xml:space="preserve"> </w:t>
      </w:r>
      <w:r w:rsidR="00424F0F" w:rsidRPr="009E05DA">
        <w:rPr>
          <w:rFonts w:ascii="GHEA Grapalat" w:hAnsi="GHEA Grapalat"/>
          <w:sz w:val="24"/>
          <w:szCs w:val="24"/>
          <w:lang w:val="hy-AM"/>
        </w:rPr>
        <w:t>հռչակման</w:t>
      </w:r>
      <w:r w:rsidR="00424F0F" w:rsidRPr="009E05DA">
        <w:rPr>
          <w:rFonts w:ascii="GHEA Grapalat" w:hAnsi="GHEA Grapalat"/>
          <w:sz w:val="24"/>
          <w:szCs w:val="24"/>
          <w:lang w:val="af-ZA"/>
        </w:rPr>
        <w:t xml:space="preserve"> 100-</w:t>
      </w:r>
      <w:r w:rsidR="00424F0F" w:rsidRPr="009E05DA">
        <w:rPr>
          <w:rFonts w:ascii="GHEA Grapalat" w:hAnsi="GHEA Grapalat"/>
          <w:sz w:val="24"/>
          <w:szCs w:val="24"/>
          <w:lang w:val="hy-AM"/>
        </w:rPr>
        <w:t>ամյակի</w:t>
      </w:r>
      <w:r w:rsidR="00424F0F" w:rsidRPr="009E05DA">
        <w:rPr>
          <w:rFonts w:ascii="GHEA Grapalat" w:hAnsi="GHEA Grapalat"/>
          <w:sz w:val="24"/>
          <w:szCs w:val="24"/>
          <w:lang w:val="af-ZA"/>
        </w:rPr>
        <w:t xml:space="preserve"> </w:t>
      </w:r>
      <w:r w:rsidR="00424F0F" w:rsidRPr="009E05DA">
        <w:rPr>
          <w:rFonts w:ascii="GHEA Grapalat" w:hAnsi="GHEA Grapalat"/>
          <w:sz w:val="24"/>
          <w:szCs w:val="24"/>
          <w:lang w:val="hy-AM"/>
        </w:rPr>
        <w:t>կապակցությամբ</w:t>
      </w:r>
      <w:r w:rsidR="00424F0F" w:rsidRPr="009E05DA">
        <w:rPr>
          <w:rFonts w:ascii="GHEA Grapalat" w:hAnsi="GHEA Grapalat"/>
          <w:sz w:val="24"/>
          <w:szCs w:val="24"/>
          <w:lang w:val="af-ZA"/>
        </w:rPr>
        <w:t xml:space="preserve"> </w:t>
      </w:r>
      <w:r w:rsidR="00424F0F" w:rsidRPr="009E05DA">
        <w:rPr>
          <w:rFonts w:ascii="GHEA Grapalat" w:hAnsi="GHEA Grapalat"/>
          <w:sz w:val="24"/>
          <w:szCs w:val="24"/>
          <w:lang w:val="hy-AM"/>
        </w:rPr>
        <w:t>քրեական</w:t>
      </w:r>
      <w:r w:rsidR="00424F0F" w:rsidRPr="009E05DA">
        <w:rPr>
          <w:rFonts w:ascii="GHEA Grapalat" w:hAnsi="GHEA Grapalat"/>
          <w:sz w:val="24"/>
          <w:szCs w:val="24"/>
          <w:lang w:val="af-ZA"/>
        </w:rPr>
        <w:t xml:space="preserve"> </w:t>
      </w:r>
      <w:r w:rsidR="00424F0F" w:rsidRPr="009E05DA">
        <w:rPr>
          <w:rFonts w:ascii="GHEA Grapalat" w:hAnsi="GHEA Grapalat"/>
          <w:sz w:val="24"/>
          <w:szCs w:val="24"/>
          <w:lang w:val="hy-AM"/>
        </w:rPr>
        <w:t>գործերով</w:t>
      </w:r>
      <w:r w:rsidR="00424F0F" w:rsidRPr="009E05DA">
        <w:rPr>
          <w:rFonts w:ascii="GHEA Grapalat" w:hAnsi="GHEA Grapalat"/>
          <w:sz w:val="24"/>
          <w:szCs w:val="24"/>
          <w:lang w:val="af-ZA"/>
        </w:rPr>
        <w:t xml:space="preserve"> </w:t>
      </w:r>
      <w:r w:rsidR="00424F0F" w:rsidRPr="009E05DA">
        <w:rPr>
          <w:rFonts w:ascii="GHEA Grapalat" w:hAnsi="GHEA Grapalat"/>
          <w:sz w:val="24"/>
          <w:szCs w:val="24"/>
          <w:lang w:val="hy-AM"/>
        </w:rPr>
        <w:t>համաներում</w:t>
      </w:r>
      <w:r w:rsidR="00424F0F" w:rsidRPr="009E05DA">
        <w:rPr>
          <w:rFonts w:ascii="GHEA Grapalat" w:hAnsi="GHEA Grapalat"/>
          <w:sz w:val="24"/>
          <w:szCs w:val="24"/>
          <w:lang w:val="af-ZA"/>
        </w:rPr>
        <w:t xml:space="preserve"> </w:t>
      </w:r>
      <w:r w:rsidR="00424F0F" w:rsidRPr="009E05DA">
        <w:rPr>
          <w:rFonts w:ascii="GHEA Grapalat" w:hAnsi="GHEA Grapalat"/>
          <w:sz w:val="24"/>
          <w:szCs w:val="24"/>
          <w:lang w:val="hy-AM"/>
        </w:rPr>
        <w:t>հայտարարելու</w:t>
      </w:r>
      <w:r w:rsidR="00424F0F" w:rsidRPr="009E05DA">
        <w:rPr>
          <w:rFonts w:ascii="GHEA Grapalat" w:hAnsi="GHEA Grapalat"/>
          <w:sz w:val="24"/>
          <w:szCs w:val="24"/>
          <w:lang w:val="af-ZA"/>
        </w:rPr>
        <w:t xml:space="preserve"> </w:t>
      </w:r>
      <w:r w:rsidR="00424F0F" w:rsidRPr="009E05DA">
        <w:rPr>
          <w:rFonts w:ascii="GHEA Grapalat" w:hAnsi="GHEA Grapalat"/>
          <w:sz w:val="24"/>
          <w:szCs w:val="24"/>
          <w:lang w:val="hy-AM"/>
        </w:rPr>
        <w:t>մասին</w:t>
      </w:r>
      <w:r w:rsidR="00424F0F" w:rsidRPr="009E05DA">
        <w:rPr>
          <w:rFonts w:ascii="GHEA Grapalat" w:hAnsi="GHEA Grapalat"/>
          <w:sz w:val="24"/>
          <w:szCs w:val="24"/>
          <w:lang w:val="af-ZA"/>
        </w:rPr>
        <w:t xml:space="preserve">» 2018 </w:t>
      </w:r>
      <w:r w:rsidR="00424F0F" w:rsidRPr="009E05DA">
        <w:rPr>
          <w:rFonts w:ascii="GHEA Grapalat" w:hAnsi="GHEA Grapalat"/>
          <w:sz w:val="24"/>
          <w:szCs w:val="24"/>
          <w:lang w:val="hy-AM"/>
        </w:rPr>
        <w:t>թվականի</w:t>
      </w:r>
      <w:r w:rsidR="00424F0F" w:rsidRPr="009E05DA">
        <w:rPr>
          <w:rFonts w:ascii="GHEA Grapalat" w:hAnsi="GHEA Grapalat"/>
          <w:sz w:val="24"/>
          <w:szCs w:val="24"/>
          <w:lang w:val="af-ZA"/>
        </w:rPr>
        <w:t xml:space="preserve"> </w:t>
      </w:r>
      <w:r w:rsidR="00424F0F" w:rsidRPr="009E05DA">
        <w:rPr>
          <w:rFonts w:ascii="GHEA Grapalat" w:hAnsi="GHEA Grapalat"/>
          <w:sz w:val="24"/>
          <w:szCs w:val="24"/>
          <w:lang w:val="hy-AM"/>
        </w:rPr>
        <w:t>նոյեմբերի</w:t>
      </w:r>
      <w:r w:rsidR="00424F0F" w:rsidRPr="009E05DA">
        <w:rPr>
          <w:rFonts w:ascii="GHEA Grapalat" w:hAnsi="GHEA Grapalat"/>
          <w:sz w:val="24"/>
          <w:szCs w:val="24"/>
          <w:lang w:val="af-ZA"/>
        </w:rPr>
        <w:t xml:space="preserve"> 1-</w:t>
      </w:r>
      <w:r w:rsidR="00424F0F" w:rsidRPr="009E05DA">
        <w:rPr>
          <w:rFonts w:ascii="GHEA Grapalat" w:hAnsi="GHEA Grapalat"/>
          <w:sz w:val="24"/>
          <w:szCs w:val="24"/>
          <w:lang w:val="hy-AM"/>
        </w:rPr>
        <w:t>ին</w:t>
      </w:r>
      <w:r w:rsidR="00424F0F" w:rsidRPr="009E05DA">
        <w:rPr>
          <w:rFonts w:ascii="GHEA Grapalat" w:hAnsi="GHEA Grapalat"/>
          <w:sz w:val="24"/>
          <w:szCs w:val="24"/>
          <w:lang w:val="af-ZA"/>
        </w:rPr>
        <w:t xml:space="preserve"> </w:t>
      </w:r>
      <w:r w:rsidR="00424F0F" w:rsidRPr="009E05DA">
        <w:rPr>
          <w:rFonts w:ascii="GHEA Grapalat" w:hAnsi="GHEA Grapalat"/>
          <w:sz w:val="24"/>
          <w:szCs w:val="24"/>
          <w:lang w:val="hy-AM"/>
        </w:rPr>
        <w:t>ընդունված</w:t>
      </w:r>
      <w:r w:rsidR="00424F0F" w:rsidRPr="009E05DA">
        <w:rPr>
          <w:rFonts w:ascii="GHEA Grapalat" w:hAnsi="GHEA Grapalat"/>
          <w:sz w:val="24"/>
          <w:szCs w:val="24"/>
          <w:lang w:val="af-ZA"/>
        </w:rPr>
        <w:t xml:space="preserve"> </w:t>
      </w:r>
      <w:r w:rsidR="00424F0F" w:rsidRPr="009E05DA">
        <w:rPr>
          <w:rFonts w:ascii="GHEA Grapalat" w:hAnsi="GHEA Grapalat"/>
          <w:sz w:val="24"/>
          <w:szCs w:val="24"/>
          <w:lang w:val="hy-AM"/>
        </w:rPr>
        <w:t>ՀՀ</w:t>
      </w:r>
      <w:r w:rsidR="00424F0F" w:rsidRPr="009E05DA">
        <w:rPr>
          <w:rFonts w:ascii="GHEA Grapalat" w:hAnsi="GHEA Grapalat"/>
          <w:sz w:val="24"/>
          <w:szCs w:val="24"/>
          <w:lang w:val="af-ZA"/>
        </w:rPr>
        <w:t xml:space="preserve"> </w:t>
      </w:r>
      <w:r w:rsidR="00424F0F" w:rsidRPr="009E05DA">
        <w:rPr>
          <w:rFonts w:ascii="GHEA Grapalat" w:hAnsi="GHEA Grapalat"/>
          <w:sz w:val="24"/>
          <w:szCs w:val="24"/>
          <w:lang w:val="hy-AM"/>
        </w:rPr>
        <w:t>օրենքի</w:t>
      </w:r>
      <w:r w:rsidR="006A667C" w:rsidRPr="009E05DA">
        <w:rPr>
          <w:rStyle w:val="FootnoteReference"/>
          <w:rFonts w:ascii="GHEA Grapalat" w:hAnsi="GHEA Grapalat"/>
          <w:sz w:val="24"/>
          <w:szCs w:val="24"/>
          <w:lang w:val="hy-AM"/>
        </w:rPr>
        <w:footnoteReference w:id="2"/>
      </w:r>
      <w:r w:rsidR="00056059" w:rsidRPr="009E05DA">
        <w:rPr>
          <w:rFonts w:ascii="GHEA Grapalat" w:hAnsi="GHEA Grapalat"/>
          <w:sz w:val="24"/>
          <w:szCs w:val="24"/>
          <w:lang w:val="hy-AM"/>
        </w:rPr>
        <w:t xml:space="preserve"> </w:t>
      </w:r>
      <w:r w:rsidR="00424F0F" w:rsidRPr="009E05DA">
        <w:rPr>
          <w:rFonts w:ascii="GHEA Grapalat" w:hAnsi="GHEA Grapalat"/>
          <w:sz w:val="24"/>
          <w:szCs w:val="24"/>
          <w:lang w:val="af-ZA"/>
        </w:rPr>
        <w:t>4-</w:t>
      </w:r>
      <w:r w:rsidR="00424F0F" w:rsidRPr="009E05DA">
        <w:rPr>
          <w:rFonts w:ascii="GHEA Grapalat" w:hAnsi="GHEA Grapalat"/>
          <w:sz w:val="24"/>
          <w:szCs w:val="24"/>
          <w:lang w:val="hy-AM"/>
        </w:rPr>
        <w:t>րդ</w:t>
      </w:r>
      <w:r w:rsidR="00424F0F" w:rsidRPr="009E05DA">
        <w:rPr>
          <w:rFonts w:ascii="GHEA Grapalat" w:hAnsi="GHEA Grapalat"/>
          <w:sz w:val="24"/>
          <w:szCs w:val="24"/>
          <w:lang w:val="af-ZA"/>
        </w:rPr>
        <w:t xml:space="preserve"> </w:t>
      </w:r>
      <w:r w:rsidR="00424F0F" w:rsidRPr="009E05DA">
        <w:rPr>
          <w:rFonts w:ascii="GHEA Grapalat" w:hAnsi="GHEA Grapalat"/>
          <w:sz w:val="24"/>
          <w:szCs w:val="24"/>
          <w:lang w:val="hy-AM"/>
        </w:rPr>
        <w:t>հոդվածի</w:t>
      </w:r>
      <w:r w:rsidR="00424F0F" w:rsidRPr="009E05DA">
        <w:rPr>
          <w:rFonts w:ascii="GHEA Grapalat" w:hAnsi="GHEA Grapalat"/>
          <w:sz w:val="24"/>
          <w:szCs w:val="24"/>
          <w:lang w:val="af-ZA"/>
        </w:rPr>
        <w:t xml:space="preserve"> 2-</w:t>
      </w:r>
      <w:r w:rsidR="00424F0F" w:rsidRPr="009E05DA">
        <w:rPr>
          <w:rFonts w:ascii="GHEA Grapalat" w:hAnsi="GHEA Grapalat"/>
          <w:sz w:val="24"/>
          <w:szCs w:val="24"/>
          <w:lang w:val="hy-AM"/>
        </w:rPr>
        <w:t>րդ</w:t>
      </w:r>
      <w:r w:rsidR="00424F0F" w:rsidRPr="009E05DA">
        <w:rPr>
          <w:rFonts w:ascii="GHEA Grapalat" w:hAnsi="GHEA Grapalat"/>
          <w:sz w:val="24"/>
          <w:szCs w:val="24"/>
          <w:lang w:val="af-ZA"/>
        </w:rPr>
        <w:t xml:space="preserve"> </w:t>
      </w:r>
      <w:r w:rsidR="00424F0F" w:rsidRPr="009E05DA">
        <w:rPr>
          <w:rFonts w:ascii="GHEA Grapalat" w:hAnsi="GHEA Grapalat"/>
          <w:sz w:val="24"/>
          <w:szCs w:val="24"/>
          <w:lang w:val="hy-AM"/>
        </w:rPr>
        <w:t>մասի</w:t>
      </w:r>
      <w:r w:rsidR="00424F0F" w:rsidRPr="009E05DA">
        <w:rPr>
          <w:rFonts w:ascii="GHEA Grapalat" w:hAnsi="GHEA Grapalat"/>
          <w:sz w:val="24"/>
          <w:szCs w:val="24"/>
          <w:lang w:val="af-ZA"/>
        </w:rPr>
        <w:t xml:space="preserve"> </w:t>
      </w:r>
      <w:r w:rsidR="00424F0F" w:rsidRPr="009E05DA">
        <w:rPr>
          <w:rFonts w:ascii="GHEA Grapalat" w:hAnsi="GHEA Grapalat"/>
          <w:sz w:val="24"/>
          <w:szCs w:val="24"/>
          <w:lang w:val="hy-AM"/>
        </w:rPr>
        <w:t>և</w:t>
      </w:r>
      <w:r w:rsidR="00424F0F" w:rsidRPr="009E05DA">
        <w:rPr>
          <w:rFonts w:ascii="GHEA Grapalat" w:hAnsi="GHEA Grapalat"/>
          <w:sz w:val="24"/>
          <w:szCs w:val="24"/>
          <w:lang w:val="af-ZA"/>
        </w:rPr>
        <w:t xml:space="preserve"> </w:t>
      </w:r>
      <w:r w:rsidR="00424F0F" w:rsidRPr="009E05DA">
        <w:rPr>
          <w:rFonts w:ascii="GHEA Grapalat" w:hAnsi="GHEA Grapalat"/>
          <w:sz w:val="24"/>
          <w:szCs w:val="24"/>
          <w:lang w:val="hy-AM"/>
        </w:rPr>
        <w:t>դրա</w:t>
      </w:r>
      <w:r w:rsidR="00424F0F" w:rsidRPr="009E05DA">
        <w:rPr>
          <w:rFonts w:ascii="GHEA Grapalat" w:hAnsi="GHEA Grapalat"/>
          <w:sz w:val="24"/>
          <w:szCs w:val="24"/>
          <w:lang w:val="af-ZA"/>
        </w:rPr>
        <w:t xml:space="preserve">  </w:t>
      </w:r>
      <w:r w:rsidR="00424F0F" w:rsidRPr="009E05DA">
        <w:rPr>
          <w:rFonts w:ascii="GHEA Grapalat" w:hAnsi="GHEA Grapalat"/>
          <w:sz w:val="24"/>
          <w:szCs w:val="24"/>
          <w:lang w:val="hy-AM"/>
        </w:rPr>
        <w:t>հետ</w:t>
      </w:r>
      <w:r w:rsidR="00424F0F" w:rsidRPr="009E05DA">
        <w:rPr>
          <w:rFonts w:ascii="GHEA Grapalat" w:hAnsi="GHEA Grapalat"/>
          <w:sz w:val="24"/>
          <w:szCs w:val="24"/>
          <w:lang w:val="af-ZA"/>
        </w:rPr>
        <w:t xml:space="preserve"> </w:t>
      </w:r>
      <w:r w:rsidR="00424F0F" w:rsidRPr="009E05DA">
        <w:rPr>
          <w:rFonts w:ascii="GHEA Grapalat" w:hAnsi="GHEA Grapalat"/>
          <w:sz w:val="24"/>
          <w:szCs w:val="24"/>
          <w:lang w:val="hy-AM"/>
        </w:rPr>
        <w:t>փոխկապակցված</w:t>
      </w:r>
      <w:r w:rsidR="00424F0F" w:rsidRPr="009E05DA">
        <w:rPr>
          <w:rFonts w:ascii="GHEA Grapalat" w:hAnsi="GHEA Grapalat"/>
          <w:sz w:val="24"/>
          <w:szCs w:val="24"/>
          <w:lang w:val="af-ZA"/>
        </w:rPr>
        <w:t xml:space="preserve"> 2-</w:t>
      </w:r>
      <w:r w:rsidR="00424F0F" w:rsidRPr="009E05DA">
        <w:rPr>
          <w:rFonts w:ascii="GHEA Grapalat" w:hAnsi="GHEA Grapalat"/>
          <w:sz w:val="24"/>
          <w:szCs w:val="24"/>
          <w:lang w:val="hy-AM"/>
        </w:rPr>
        <w:t>րդ</w:t>
      </w:r>
      <w:r w:rsidR="00424F0F" w:rsidRPr="009E05DA">
        <w:rPr>
          <w:rFonts w:ascii="GHEA Grapalat" w:hAnsi="GHEA Grapalat"/>
          <w:sz w:val="24"/>
          <w:szCs w:val="24"/>
          <w:lang w:val="af-ZA"/>
        </w:rPr>
        <w:t xml:space="preserve"> </w:t>
      </w:r>
      <w:r w:rsidR="00424F0F" w:rsidRPr="009E05DA">
        <w:rPr>
          <w:rFonts w:ascii="GHEA Grapalat" w:hAnsi="GHEA Grapalat"/>
          <w:sz w:val="24"/>
          <w:szCs w:val="24"/>
          <w:lang w:val="hy-AM"/>
        </w:rPr>
        <w:t>հոդվածի</w:t>
      </w:r>
      <w:r w:rsidR="00424F0F" w:rsidRPr="009E05DA">
        <w:rPr>
          <w:rFonts w:ascii="GHEA Grapalat" w:hAnsi="GHEA Grapalat"/>
          <w:sz w:val="24"/>
          <w:szCs w:val="24"/>
          <w:lang w:val="af-ZA"/>
        </w:rPr>
        <w:t xml:space="preserve"> 10-</w:t>
      </w:r>
      <w:r w:rsidR="00424F0F" w:rsidRPr="009E05DA">
        <w:rPr>
          <w:rFonts w:ascii="GHEA Grapalat" w:hAnsi="GHEA Grapalat"/>
          <w:sz w:val="24"/>
          <w:szCs w:val="24"/>
          <w:lang w:val="hy-AM"/>
        </w:rPr>
        <w:t>րդ</w:t>
      </w:r>
      <w:r w:rsidR="00424F0F" w:rsidRPr="009E05DA">
        <w:rPr>
          <w:rFonts w:ascii="GHEA Grapalat" w:hAnsi="GHEA Grapalat"/>
          <w:sz w:val="24"/>
          <w:szCs w:val="24"/>
          <w:lang w:val="af-ZA"/>
        </w:rPr>
        <w:t xml:space="preserve"> </w:t>
      </w:r>
      <w:r w:rsidR="00D167E3" w:rsidRPr="009E05DA">
        <w:rPr>
          <w:rFonts w:ascii="GHEA Grapalat" w:hAnsi="GHEA Grapalat"/>
          <w:sz w:val="24"/>
          <w:szCs w:val="24"/>
          <w:lang w:val="hy-AM"/>
        </w:rPr>
        <w:t>մասի</w:t>
      </w:r>
      <w:r w:rsidR="00424F0F" w:rsidRPr="009E05DA">
        <w:rPr>
          <w:rFonts w:ascii="GHEA Grapalat" w:hAnsi="GHEA Grapalat"/>
          <w:sz w:val="24"/>
          <w:szCs w:val="24"/>
          <w:lang w:val="hy-AM"/>
        </w:rPr>
        <w:t>՝</w:t>
      </w:r>
      <w:r w:rsidR="00424F0F" w:rsidRPr="009E05DA">
        <w:rPr>
          <w:rFonts w:ascii="GHEA Grapalat" w:hAnsi="GHEA Grapalat"/>
          <w:sz w:val="24"/>
          <w:szCs w:val="24"/>
          <w:lang w:val="af-ZA"/>
        </w:rPr>
        <w:t xml:space="preserve"> </w:t>
      </w:r>
      <w:r w:rsidR="00424F0F" w:rsidRPr="009E05DA">
        <w:rPr>
          <w:rFonts w:ascii="GHEA Grapalat" w:hAnsi="GHEA Grapalat"/>
          <w:sz w:val="24"/>
          <w:szCs w:val="24"/>
          <w:lang w:val="hy-AM"/>
        </w:rPr>
        <w:t>Սահմանադրությանը</w:t>
      </w:r>
      <w:r w:rsidR="00424F0F" w:rsidRPr="009E05DA">
        <w:rPr>
          <w:rFonts w:ascii="GHEA Grapalat" w:hAnsi="GHEA Grapalat"/>
          <w:sz w:val="24"/>
          <w:szCs w:val="24"/>
          <w:lang w:val="af-ZA"/>
        </w:rPr>
        <w:t xml:space="preserve"> </w:t>
      </w:r>
      <w:r w:rsidR="00424F0F" w:rsidRPr="009E05DA">
        <w:rPr>
          <w:rFonts w:ascii="GHEA Grapalat" w:hAnsi="GHEA Grapalat"/>
          <w:sz w:val="24"/>
          <w:szCs w:val="24"/>
          <w:lang w:val="hy-AM"/>
        </w:rPr>
        <w:t>համապատասխանության</w:t>
      </w:r>
      <w:r w:rsidR="00424F0F" w:rsidRPr="009E05DA">
        <w:rPr>
          <w:rFonts w:ascii="GHEA Grapalat" w:hAnsi="GHEA Grapalat"/>
          <w:sz w:val="24"/>
          <w:szCs w:val="24"/>
          <w:lang w:val="af-ZA"/>
        </w:rPr>
        <w:t xml:space="preserve"> </w:t>
      </w:r>
      <w:r w:rsidR="00795DEB" w:rsidRPr="009E05DA">
        <w:rPr>
          <w:rFonts w:ascii="GHEA Grapalat" w:hAnsi="GHEA Grapalat"/>
          <w:sz w:val="24"/>
          <w:szCs w:val="24"/>
          <w:lang w:val="hy-AM"/>
        </w:rPr>
        <w:t>հարց</w:t>
      </w:r>
      <w:r w:rsidRPr="009E05DA">
        <w:rPr>
          <w:rFonts w:ascii="GHEA Grapalat" w:hAnsi="GHEA Grapalat"/>
          <w:sz w:val="24"/>
          <w:szCs w:val="24"/>
          <w:lang w:val="hy-AM"/>
        </w:rPr>
        <w:t>ի լուծման խնդրանքով։</w:t>
      </w:r>
    </w:p>
    <w:p w:rsidR="0012232C" w:rsidRPr="009E05DA" w:rsidRDefault="0012232C" w:rsidP="00B233B4">
      <w:pPr>
        <w:pStyle w:val="ListParagraph"/>
        <w:tabs>
          <w:tab w:val="left" w:pos="0"/>
          <w:tab w:val="left" w:pos="709"/>
        </w:tabs>
        <w:spacing w:line="360" w:lineRule="auto"/>
        <w:ind w:left="0"/>
        <w:jc w:val="both"/>
        <w:rPr>
          <w:rFonts w:ascii="GHEA Grapalat" w:hAnsi="GHEA Grapalat" w:cs="Arial"/>
          <w:b/>
          <w:color w:val="000000"/>
          <w:u w:val="single"/>
          <w:shd w:val="clear" w:color="auto" w:fill="FFFFFF"/>
          <w:lang w:val="hy-AM"/>
        </w:rPr>
      </w:pPr>
      <w:bookmarkStart w:id="0" w:name="_GoBack"/>
      <w:bookmarkEnd w:id="0"/>
    </w:p>
    <w:p w:rsidR="0003650F" w:rsidRPr="009E05DA" w:rsidRDefault="000965B4" w:rsidP="00B233B4">
      <w:pPr>
        <w:pStyle w:val="ListParagraph"/>
        <w:tabs>
          <w:tab w:val="left" w:pos="0"/>
          <w:tab w:val="left" w:pos="709"/>
        </w:tabs>
        <w:spacing w:line="360" w:lineRule="auto"/>
        <w:ind w:left="0"/>
        <w:jc w:val="both"/>
        <w:rPr>
          <w:rFonts w:ascii="GHEA Grapalat" w:hAnsi="GHEA Grapalat" w:cs="Arial"/>
          <w:b/>
          <w:color w:val="000000"/>
          <w:u w:val="single"/>
          <w:shd w:val="clear" w:color="auto" w:fill="FFFFFF"/>
          <w:lang w:val="hy-AM"/>
        </w:rPr>
      </w:pPr>
      <w:r w:rsidRPr="009E05DA">
        <w:rPr>
          <w:rFonts w:ascii="GHEA Grapalat" w:hAnsi="GHEA Grapalat" w:cs="Arial"/>
          <w:b/>
          <w:color w:val="000000"/>
          <w:u w:val="single"/>
          <w:shd w:val="clear" w:color="auto" w:fill="FFFFFF"/>
          <w:lang w:val="hy-AM"/>
        </w:rPr>
        <w:t>Դիմումում վկայակոչած իրավական հիմքերը</w:t>
      </w:r>
    </w:p>
    <w:p w:rsidR="0003650F" w:rsidRPr="009E05DA" w:rsidRDefault="00E67A1F" w:rsidP="00B233B4">
      <w:pPr>
        <w:tabs>
          <w:tab w:val="left" w:pos="1260"/>
        </w:tabs>
        <w:spacing w:after="0" w:line="360" w:lineRule="auto"/>
        <w:ind w:firstLine="720"/>
        <w:jc w:val="both"/>
        <w:rPr>
          <w:rFonts w:ascii="GHEA Grapalat" w:hAnsi="GHEA Grapalat"/>
          <w:sz w:val="24"/>
          <w:szCs w:val="24"/>
          <w:lang w:val="hy-AM"/>
        </w:rPr>
      </w:pPr>
      <w:r w:rsidRPr="009E05DA">
        <w:rPr>
          <w:rFonts w:ascii="GHEA Grapalat" w:hAnsi="GHEA Grapalat" w:cs="Arial"/>
          <w:color w:val="000000"/>
          <w:sz w:val="24"/>
          <w:szCs w:val="24"/>
          <w:shd w:val="clear" w:color="auto" w:fill="FFFFFF"/>
          <w:lang w:val="hy-AM"/>
        </w:rPr>
        <w:t xml:space="preserve">Դիմումում </w:t>
      </w:r>
      <w:r w:rsidR="00056059" w:rsidRPr="009E05DA">
        <w:rPr>
          <w:rFonts w:ascii="GHEA Grapalat" w:hAnsi="GHEA Grapalat" w:cs="Arial"/>
          <w:color w:val="000000"/>
          <w:sz w:val="24"/>
          <w:szCs w:val="24"/>
          <w:shd w:val="clear" w:color="auto" w:fill="FFFFFF"/>
          <w:lang w:val="hy-AM"/>
        </w:rPr>
        <w:t>Օրենքի</w:t>
      </w:r>
      <w:r w:rsidR="0003650F" w:rsidRPr="009E05DA">
        <w:rPr>
          <w:rFonts w:ascii="GHEA Grapalat" w:hAnsi="GHEA Grapalat"/>
          <w:sz w:val="24"/>
          <w:szCs w:val="24"/>
          <w:lang w:val="hy-AM"/>
        </w:rPr>
        <w:t xml:space="preserve"> </w:t>
      </w:r>
      <w:r w:rsidR="00056059" w:rsidRPr="009E05DA">
        <w:rPr>
          <w:rFonts w:ascii="GHEA Grapalat" w:hAnsi="GHEA Grapalat"/>
          <w:sz w:val="24"/>
          <w:szCs w:val="24"/>
          <w:lang w:val="hy-AM"/>
        </w:rPr>
        <w:t>4</w:t>
      </w:r>
      <w:r w:rsidR="007256E7" w:rsidRPr="009E05DA">
        <w:rPr>
          <w:rFonts w:ascii="GHEA Grapalat" w:hAnsi="GHEA Grapalat"/>
          <w:sz w:val="24"/>
          <w:szCs w:val="24"/>
          <w:lang w:val="hy-AM"/>
        </w:rPr>
        <w:t xml:space="preserve">-րդ հոդվածի </w:t>
      </w:r>
      <w:r w:rsidR="00056059" w:rsidRPr="009E05DA">
        <w:rPr>
          <w:rFonts w:ascii="GHEA Grapalat" w:hAnsi="GHEA Grapalat"/>
          <w:sz w:val="24"/>
          <w:szCs w:val="24"/>
          <w:lang w:val="hy-AM"/>
        </w:rPr>
        <w:t xml:space="preserve">2-րդ մասի </w:t>
      </w:r>
      <w:r w:rsidR="007256E7" w:rsidRPr="009E05DA">
        <w:rPr>
          <w:rFonts w:ascii="GHEA Grapalat" w:hAnsi="GHEA Grapalat"/>
          <w:sz w:val="24"/>
          <w:szCs w:val="24"/>
          <w:lang w:val="hy-AM"/>
        </w:rPr>
        <w:t xml:space="preserve">և </w:t>
      </w:r>
      <w:r w:rsidR="001B6E71" w:rsidRPr="009E05DA">
        <w:rPr>
          <w:rFonts w:ascii="GHEA Grapalat" w:hAnsi="GHEA Grapalat"/>
          <w:sz w:val="24"/>
          <w:szCs w:val="24"/>
          <w:lang w:val="hy-AM"/>
        </w:rPr>
        <w:t>դրա</w:t>
      </w:r>
      <w:r w:rsidR="001B6E71" w:rsidRPr="009E05DA">
        <w:rPr>
          <w:rFonts w:ascii="GHEA Grapalat" w:hAnsi="GHEA Grapalat"/>
          <w:sz w:val="24"/>
          <w:szCs w:val="24"/>
          <w:lang w:val="af-ZA"/>
        </w:rPr>
        <w:t xml:space="preserve">  </w:t>
      </w:r>
      <w:r w:rsidR="001B6E71" w:rsidRPr="009E05DA">
        <w:rPr>
          <w:rFonts w:ascii="GHEA Grapalat" w:hAnsi="GHEA Grapalat"/>
          <w:sz w:val="24"/>
          <w:szCs w:val="24"/>
          <w:lang w:val="hy-AM"/>
        </w:rPr>
        <w:t>հետ</w:t>
      </w:r>
      <w:r w:rsidR="001B6E71" w:rsidRPr="009E05DA">
        <w:rPr>
          <w:rFonts w:ascii="GHEA Grapalat" w:hAnsi="GHEA Grapalat"/>
          <w:sz w:val="24"/>
          <w:szCs w:val="24"/>
          <w:lang w:val="af-ZA"/>
        </w:rPr>
        <w:t xml:space="preserve"> </w:t>
      </w:r>
      <w:r w:rsidR="001B6E71" w:rsidRPr="009E05DA">
        <w:rPr>
          <w:rFonts w:ascii="GHEA Grapalat" w:hAnsi="GHEA Grapalat"/>
          <w:sz w:val="24"/>
          <w:szCs w:val="24"/>
          <w:lang w:val="hy-AM"/>
        </w:rPr>
        <w:t>փոխկապակցված</w:t>
      </w:r>
      <w:r w:rsidR="001B6E71" w:rsidRPr="009E05DA">
        <w:rPr>
          <w:rFonts w:ascii="GHEA Grapalat" w:hAnsi="GHEA Grapalat"/>
          <w:sz w:val="24"/>
          <w:szCs w:val="24"/>
          <w:lang w:val="af-ZA"/>
        </w:rPr>
        <w:t xml:space="preserve"> 2-</w:t>
      </w:r>
      <w:r w:rsidR="001B6E71" w:rsidRPr="009E05DA">
        <w:rPr>
          <w:rFonts w:ascii="GHEA Grapalat" w:hAnsi="GHEA Grapalat"/>
          <w:sz w:val="24"/>
          <w:szCs w:val="24"/>
          <w:lang w:val="hy-AM"/>
        </w:rPr>
        <w:t>րդ</w:t>
      </w:r>
      <w:r w:rsidR="001B6E71" w:rsidRPr="009E05DA">
        <w:rPr>
          <w:rFonts w:ascii="GHEA Grapalat" w:hAnsi="GHEA Grapalat"/>
          <w:sz w:val="24"/>
          <w:szCs w:val="24"/>
          <w:lang w:val="af-ZA"/>
        </w:rPr>
        <w:t xml:space="preserve"> </w:t>
      </w:r>
      <w:r w:rsidR="001B6E71" w:rsidRPr="009E05DA">
        <w:rPr>
          <w:rFonts w:ascii="GHEA Grapalat" w:hAnsi="GHEA Grapalat"/>
          <w:sz w:val="24"/>
          <w:szCs w:val="24"/>
          <w:lang w:val="hy-AM"/>
        </w:rPr>
        <w:t>հոդվածի</w:t>
      </w:r>
      <w:r w:rsidR="001B6E71" w:rsidRPr="009E05DA">
        <w:rPr>
          <w:rFonts w:ascii="GHEA Grapalat" w:hAnsi="GHEA Grapalat"/>
          <w:sz w:val="24"/>
          <w:szCs w:val="24"/>
          <w:lang w:val="af-ZA"/>
        </w:rPr>
        <w:t xml:space="preserve"> 10-</w:t>
      </w:r>
      <w:r w:rsidR="001B6E71" w:rsidRPr="009E05DA">
        <w:rPr>
          <w:rFonts w:ascii="GHEA Grapalat" w:hAnsi="GHEA Grapalat"/>
          <w:sz w:val="24"/>
          <w:szCs w:val="24"/>
          <w:lang w:val="hy-AM"/>
        </w:rPr>
        <w:t>րդ</w:t>
      </w:r>
      <w:r w:rsidR="001B6E71" w:rsidRPr="009E05DA">
        <w:rPr>
          <w:rFonts w:ascii="GHEA Grapalat" w:hAnsi="GHEA Grapalat"/>
          <w:sz w:val="24"/>
          <w:szCs w:val="24"/>
          <w:lang w:val="af-ZA"/>
        </w:rPr>
        <w:t xml:space="preserve"> </w:t>
      </w:r>
      <w:r w:rsidR="00D167E3" w:rsidRPr="009E05DA">
        <w:rPr>
          <w:rFonts w:ascii="GHEA Grapalat" w:hAnsi="GHEA Grapalat"/>
          <w:sz w:val="24"/>
          <w:szCs w:val="24"/>
          <w:lang w:val="hy-AM"/>
        </w:rPr>
        <w:t xml:space="preserve">մասի </w:t>
      </w:r>
      <w:r w:rsidR="0003650F" w:rsidRPr="009E05DA">
        <w:rPr>
          <w:rFonts w:ascii="GHEA Grapalat" w:hAnsi="GHEA Grapalat"/>
          <w:sz w:val="24"/>
          <w:szCs w:val="24"/>
          <w:lang w:val="hy-AM"/>
        </w:rPr>
        <w:t>սահմանադրականության հարցը</w:t>
      </w:r>
      <w:r w:rsidR="0003650F" w:rsidRPr="009E05DA">
        <w:rPr>
          <w:rFonts w:ascii="GHEA Grapalat" w:hAnsi="GHEA Grapalat" w:cs="Arial"/>
          <w:color w:val="000000"/>
          <w:sz w:val="24"/>
          <w:szCs w:val="24"/>
          <w:shd w:val="clear" w:color="auto" w:fill="FFFFFF"/>
          <w:lang w:val="hy-AM"/>
        </w:rPr>
        <w:t xml:space="preserve"> քննարկվել է այնքանով, </w:t>
      </w:r>
      <w:r w:rsidR="0003650F" w:rsidRPr="009E05DA">
        <w:rPr>
          <w:rFonts w:ascii="GHEA Grapalat" w:hAnsi="GHEA Grapalat"/>
          <w:sz w:val="24"/>
          <w:szCs w:val="24"/>
          <w:lang w:val="hy-AM"/>
        </w:rPr>
        <w:t xml:space="preserve">որքանով </w:t>
      </w:r>
      <w:r w:rsidR="001B6E71" w:rsidRPr="009E05DA">
        <w:rPr>
          <w:rFonts w:ascii="GHEA Grapalat" w:hAnsi="GHEA Grapalat"/>
          <w:sz w:val="24"/>
          <w:szCs w:val="24"/>
          <w:lang w:val="hy-AM"/>
        </w:rPr>
        <w:t xml:space="preserve">համաներման կիրառմամբ պատժից ազատելու դեպքում պարտադիր պայման սահմանված </w:t>
      </w:r>
      <w:r w:rsidR="001B6E71" w:rsidRPr="009E05DA">
        <w:rPr>
          <w:rFonts w:ascii="GHEA Grapalat" w:hAnsi="GHEA Grapalat"/>
          <w:sz w:val="24"/>
          <w:szCs w:val="24"/>
          <w:lang w:val="hy-AM"/>
        </w:rPr>
        <w:lastRenderedPageBreak/>
        <w:t>չէ տուժողին պատճառված վնասը հատուցած լինելու վերաբերյալ, ավելին՝ Օրենքի 4-րդ հոդվածի 2-րդ մասում ամրագրված է, որ դատավճռով հաստատված տուժողին պատճառված վնասի հատուցման հարցը կարող է լուծվել ՀՀ քաղաքացիական դատավարության օրենսգրքով սահմանված</w:t>
      </w:r>
      <w:r w:rsidR="00266A80" w:rsidRPr="009E05DA">
        <w:rPr>
          <w:rFonts w:ascii="GHEA Grapalat" w:hAnsi="GHEA Grapalat"/>
          <w:sz w:val="24"/>
          <w:szCs w:val="24"/>
          <w:lang w:val="hy-AM"/>
        </w:rPr>
        <w:t xml:space="preserve"> </w:t>
      </w:r>
      <w:r w:rsidR="001B6E71" w:rsidRPr="009E05DA">
        <w:rPr>
          <w:rFonts w:ascii="GHEA Grapalat" w:hAnsi="GHEA Grapalat"/>
          <w:sz w:val="24"/>
          <w:szCs w:val="24"/>
          <w:lang w:val="hy-AM"/>
        </w:rPr>
        <w:t>կարգով։</w:t>
      </w:r>
    </w:p>
    <w:p w:rsidR="00C23B89" w:rsidRPr="009E05DA" w:rsidRDefault="0003650F" w:rsidP="00B233B4">
      <w:pPr>
        <w:pStyle w:val="ListParagraph"/>
        <w:tabs>
          <w:tab w:val="left" w:pos="0"/>
          <w:tab w:val="left" w:pos="720"/>
        </w:tabs>
        <w:spacing w:line="360" w:lineRule="auto"/>
        <w:ind w:left="0"/>
        <w:jc w:val="both"/>
        <w:rPr>
          <w:rFonts w:ascii="GHEA Grapalat" w:hAnsi="GHEA Grapalat"/>
          <w:b/>
          <w:u w:val="single"/>
          <w:lang w:val="hy-AM"/>
        </w:rPr>
      </w:pPr>
      <w:r w:rsidRPr="009E05DA">
        <w:rPr>
          <w:rFonts w:ascii="GHEA Grapalat" w:hAnsi="GHEA Grapalat" w:cs="Arial"/>
          <w:color w:val="000000"/>
          <w:shd w:val="clear" w:color="auto" w:fill="FFFFFF"/>
          <w:lang w:val="hy-AM"/>
        </w:rPr>
        <w:tab/>
        <w:t xml:space="preserve">Դիմող կողմի պնդմամբ՝ </w:t>
      </w:r>
      <w:r w:rsidR="00266A80" w:rsidRPr="009E05DA">
        <w:rPr>
          <w:rFonts w:ascii="GHEA Grapalat" w:hAnsi="GHEA Grapalat" w:cs="Arial"/>
          <w:color w:val="000000"/>
          <w:shd w:val="clear" w:color="auto" w:fill="FFFFFF"/>
          <w:lang w:val="hy-AM"/>
        </w:rPr>
        <w:t>վերո</w:t>
      </w:r>
      <w:r w:rsidR="00266A80" w:rsidRPr="009E05DA">
        <w:rPr>
          <w:rFonts w:ascii="GHEA Grapalat" w:hAnsi="GHEA Grapalat"/>
          <w:lang w:val="hy-AM"/>
        </w:rPr>
        <w:t>նշյալ նորմերը</w:t>
      </w:r>
      <w:r w:rsidR="001B6E71" w:rsidRPr="009E05DA">
        <w:rPr>
          <w:rFonts w:ascii="GHEA Grapalat" w:hAnsi="GHEA Grapalat"/>
          <w:lang w:val="hy-AM"/>
        </w:rPr>
        <w:t xml:space="preserve"> առերևույթ (prima facie)</w:t>
      </w:r>
      <w:r w:rsidR="00266A80" w:rsidRPr="009E05DA">
        <w:rPr>
          <w:rFonts w:ascii="GHEA Grapalat" w:hAnsi="GHEA Grapalat"/>
          <w:lang w:val="hy-AM"/>
        </w:rPr>
        <w:t xml:space="preserve"> հակասում են</w:t>
      </w:r>
      <w:r w:rsidR="00266A80" w:rsidRPr="009E05DA">
        <w:rPr>
          <w:rFonts w:ascii="GHEA Grapalat" w:hAnsi="GHEA Grapalat"/>
          <w:i/>
          <w:iCs/>
          <w:lang w:val="hy-AM"/>
        </w:rPr>
        <w:t xml:space="preserve"> </w:t>
      </w:r>
      <w:r w:rsidR="00266A80" w:rsidRPr="009E05DA">
        <w:rPr>
          <w:rFonts w:ascii="GHEA Grapalat" w:hAnsi="GHEA Grapalat"/>
          <w:lang w:val="hy-AM"/>
        </w:rPr>
        <w:t xml:space="preserve">ՀՀ Սահմանադրության </w:t>
      </w:r>
      <w:r w:rsidR="001B6E71" w:rsidRPr="009E05DA">
        <w:rPr>
          <w:rFonts w:ascii="GHEA Grapalat" w:hAnsi="GHEA Grapalat"/>
          <w:lang w:val="hy-AM"/>
        </w:rPr>
        <w:t>1-ին, 3</w:t>
      </w:r>
      <w:r w:rsidR="00266A80" w:rsidRPr="009E05DA">
        <w:rPr>
          <w:rFonts w:ascii="GHEA Grapalat" w:hAnsi="GHEA Grapalat"/>
          <w:lang w:val="hy-AM"/>
        </w:rPr>
        <w:t xml:space="preserve">-րդ, </w:t>
      </w:r>
      <w:r w:rsidR="001B6E71" w:rsidRPr="009E05DA">
        <w:rPr>
          <w:rFonts w:ascii="GHEA Grapalat" w:hAnsi="GHEA Grapalat"/>
          <w:lang w:val="hy-AM"/>
        </w:rPr>
        <w:t>61</w:t>
      </w:r>
      <w:r w:rsidR="00266A80" w:rsidRPr="009E05DA">
        <w:rPr>
          <w:rFonts w:ascii="GHEA Grapalat" w:hAnsi="GHEA Grapalat"/>
          <w:lang w:val="hy-AM"/>
        </w:rPr>
        <w:t xml:space="preserve">-րդ, </w:t>
      </w:r>
      <w:r w:rsidR="001B6E71" w:rsidRPr="009E05DA">
        <w:rPr>
          <w:rFonts w:ascii="GHEA Grapalat" w:hAnsi="GHEA Grapalat"/>
          <w:lang w:val="hy-AM"/>
        </w:rPr>
        <w:t>63</w:t>
      </w:r>
      <w:r w:rsidR="00266A80" w:rsidRPr="009E05DA">
        <w:rPr>
          <w:rFonts w:ascii="GHEA Grapalat" w:hAnsi="GHEA Grapalat"/>
          <w:lang w:val="hy-AM"/>
        </w:rPr>
        <w:t>-</w:t>
      </w:r>
      <w:r w:rsidR="001B6E71" w:rsidRPr="009E05DA">
        <w:rPr>
          <w:rFonts w:ascii="GHEA Grapalat" w:hAnsi="GHEA Grapalat"/>
          <w:lang w:val="hy-AM"/>
        </w:rPr>
        <w:t>րդ, 79</w:t>
      </w:r>
      <w:r w:rsidR="00266A80" w:rsidRPr="009E05DA">
        <w:rPr>
          <w:rFonts w:ascii="GHEA Grapalat" w:hAnsi="GHEA Grapalat"/>
          <w:lang w:val="hy-AM"/>
        </w:rPr>
        <w:t xml:space="preserve">-րդ </w:t>
      </w:r>
      <w:r w:rsidR="001B6E71" w:rsidRPr="009E05DA">
        <w:rPr>
          <w:rFonts w:ascii="GHEA Grapalat" w:hAnsi="GHEA Grapalat"/>
          <w:lang w:val="hy-AM"/>
        </w:rPr>
        <w:t xml:space="preserve">և 81-րդ </w:t>
      </w:r>
      <w:r w:rsidR="00266A80" w:rsidRPr="009E05DA">
        <w:rPr>
          <w:rFonts w:ascii="GHEA Grapalat" w:hAnsi="GHEA Grapalat"/>
          <w:lang w:val="hy-AM"/>
        </w:rPr>
        <w:t>հոդվածներին:</w:t>
      </w:r>
      <w:r w:rsidR="00266A80" w:rsidRPr="009E05DA">
        <w:rPr>
          <w:rFonts w:ascii="GHEA Grapalat" w:hAnsi="GHEA Grapalat"/>
          <w:b/>
          <w:u w:val="single"/>
          <w:lang w:val="hy-AM"/>
        </w:rPr>
        <w:t xml:space="preserve"> </w:t>
      </w:r>
    </w:p>
    <w:p w:rsidR="00266A80" w:rsidRPr="009E05DA" w:rsidRDefault="00266A80" w:rsidP="00B233B4">
      <w:pPr>
        <w:pStyle w:val="ListParagraph"/>
        <w:tabs>
          <w:tab w:val="left" w:pos="0"/>
          <w:tab w:val="left" w:pos="720"/>
        </w:tabs>
        <w:spacing w:line="360" w:lineRule="auto"/>
        <w:ind w:left="0"/>
        <w:jc w:val="both"/>
        <w:rPr>
          <w:rFonts w:ascii="GHEA Grapalat" w:hAnsi="GHEA Grapalat"/>
          <w:b/>
          <w:u w:val="single"/>
          <w:lang w:val="hy-AM"/>
        </w:rPr>
      </w:pPr>
    </w:p>
    <w:p w:rsidR="003408FF" w:rsidRPr="009E05DA" w:rsidRDefault="00266A80" w:rsidP="00B233B4">
      <w:pPr>
        <w:pStyle w:val="ListParagraph"/>
        <w:tabs>
          <w:tab w:val="left" w:pos="0"/>
          <w:tab w:val="left" w:pos="720"/>
        </w:tabs>
        <w:spacing w:line="360" w:lineRule="auto"/>
        <w:ind w:left="0"/>
        <w:jc w:val="both"/>
        <w:rPr>
          <w:rFonts w:ascii="GHEA Grapalat" w:hAnsi="GHEA Grapalat"/>
          <w:b/>
          <w:u w:val="single"/>
          <w:lang w:val="hy-AM"/>
        </w:rPr>
      </w:pPr>
      <w:r w:rsidRPr="009E05DA">
        <w:rPr>
          <w:rFonts w:ascii="GHEA Grapalat" w:hAnsi="GHEA Grapalat" w:cs="Arial"/>
          <w:b/>
          <w:color w:val="000000"/>
          <w:shd w:val="clear" w:color="auto" w:fill="FFFFFF"/>
          <w:lang w:val="hy-AM"/>
        </w:rPr>
        <w:tab/>
      </w:r>
      <w:r w:rsidR="001B6E71" w:rsidRPr="009E05DA">
        <w:rPr>
          <w:rFonts w:ascii="GHEA Grapalat" w:hAnsi="GHEA Grapalat" w:cs="Arial"/>
          <w:b/>
          <w:color w:val="000000"/>
          <w:u w:val="single"/>
          <w:shd w:val="clear" w:color="auto" w:fill="FFFFFF"/>
          <w:lang w:val="hy-AM"/>
        </w:rPr>
        <w:t>Օրենքի</w:t>
      </w:r>
      <w:r w:rsidRPr="009E05DA">
        <w:rPr>
          <w:rFonts w:ascii="GHEA Grapalat" w:hAnsi="GHEA Grapalat"/>
          <w:b/>
          <w:u w:val="single"/>
          <w:lang w:val="hy-AM"/>
        </w:rPr>
        <w:t xml:space="preserve"> 4-րդ հոդվածի</w:t>
      </w:r>
      <w:r w:rsidR="001B6E71" w:rsidRPr="009E05DA">
        <w:rPr>
          <w:rFonts w:ascii="GHEA Grapalat" w:hAnsi="GHEA Grapalat"/>
          <w:b/>
          <w:u w:val="single"/>
          <w:lang w:val="hy-AM"/>
        </w:rPr>
        <w:t xml:space="preserve"> 2-րդ մասի</w:t>
      </w:r>
      <w:r w:rsidRPr="009E05DA">
        <w:rPr>
          <w:rFonts w:ascii="GHEA Grapalat" w:hAnsi="GHEA Grapalat"/>
          <w:b/>
          <w:u w:val="single"/>
          <w:lang w:val="hy-AM"/>
        </w:rPr>
        <w:t xml:space="preserve"> </w:t>
      </w:r>
      <w:r w:rsidR="001B6E71" w:rsidRPr="009E05DA">
        <w:rPr>
          <w:rFonts w:ascii="GHEA Grapalat" w:hAnsi="GHEA Grapalat"/>
          <w:b/>
          <w:u w:val="single"/>
          <w:lang w:val="hy-AM"/>
        </w:rPr>
        <w:t>և դրա</w:t>
      </w:r>
      <w:r w:rsidR="001B6E71" w:rsidRPr="009E05DA">
        <w:rPr>
          <w:rFonts w:ascii="GHEA Grapalat" w:hAnsi="GHEA Grapalat"/>
          <w:b/>
          <w:u w:val="single"/>
          <w:lang w:val="af-ZA"/>
        </w:rPr>
        <w:t xml:space="preserve">  </w:t>
      </w:r>
      <w:r w:rsidR="001B6E71" w:rsidRPr="009E05DA">
        <w:rPr>
          <w:rFonts w:ascii="GHEA Grapalat" w:hAnsi="GHEA Grapalat"/>
          <w:b/>
          <w:u w:val="single"/>
          <w:lang w:val="hy-AM"/>
        </w:rPr>
        <w:t>հետ</w:t>
      </w:r>
      <w:r w:rsidR="001B6E71" w:rsidRPr="009E05DA">
        <w:rPr>
          <w:rFonts w:ascii="GHEA Grapalat" w:hAnsi="GHEA Grapalat"/>
          <w:b/>
          <w:u w:val="single"/>
          <w:lang w:val="af-ZA"/>
        </w:rPr>
        <w:t xml:space="preserve"> </w:t>
      </w:r>
      <w:r w:rsidR="001B6E71" w:rsidRPr="009E05DA">
        <w:rPr>
          <w:rFonts w:ascii="GHEA Grapalat" w:hAnsi="GHEA Grapalat"/>
          <w:b/>
          <w:u w:val="single"/>
          <w:lang w:val="hy-AM"/>
        </w:rPr>
        <w:t>փոխկապակցված</w:t>
      </w:r>
      <w:r w:rsidR="001B6E71" w:rsidRPr="009E05DA">
        <w:rPr>
          <w:rFonts w:ascii="GHEA Grapalat" w:hAnsi="GHEA Grapalat"/>
          <w:b/>
          <w:u w:val="single"/>
          <w:lang w:val="af-ZA"/>
        </w:rPr>
        <w:t xml:space="preserve"> 2-</w:t>
      </w:r>
      <w:r w:rsidR="001B6E71" w:rsidRPr="009E05DA">
        <w:rPr>
          <w:rFonts w:ascii="GHEA Grapalat" w:hAnsi="GHEA Grapalat"/>
          <w:b/>
          <w:u w:val="single"/>
          <w:lang w:val="hy-AM"/>
        </w:rPr>
        <w:t>րդ</w:t>
      </w:r>
      <w:r w:rsidR="001B6E71" w:rsidRPr="009E05DA">
        <w:rPr>
          <w:rFonts w:ascii="GHEA Grapalat" w:hAnsi="GHEA Grapalat"/>
          <w:b/>
          <w:u w:val="single"/>
          <w:lang w:val="af-ZA"/>
        </w:rPr>
        <w:t xml:space="preserve"> </w:t>
      </w:r>
      <w:r w:rsidR="001B6E71" w:rsidRPr="009E05DA">
        <w:rPr>
          <w:rFonts w:ascii="GHEA Grapalat" w:hAnsi="GHEA Grapalat"/>
          <w:b/>
          <w:u w:val="single"/>
          <w:lang w:val="hy-AM"/>
        </w:rPr>
        <w:t>հոդվածի</w:t>
      </w:r>
      <w:r w:rsidR="001B6E71" w:rsidRPr="009E05DA">
        <w:rPr>
          <w:rFonts w:ascii="GHEA Grapalat" w:hAnsi="GHEA Grapalat"/>
          <w:b/>
          <w:u w:val="single"/>
          <w:lang w:val="af-ZA"/>
        </w:rPr>
        <w:t xml:space="preserve"> 10-</w:t>
      </w:r>
      <w:r w:rsidR="001B6E71" w:rsidRPr="009E05DA">
        <w:rPr>
          <w:rFonts w:ascii="GHEA Grapalat" w:hAnsi="GHEA Grapalat"/>
          <w:b/>
          <w:u w:val="single"/>
          <w:lang w:val="hy-AM"/>
        </w:rPr>
        <w:t>րդ</w:t>
      </w:r>
      <w:r w:rsidR="001B6E71" w:rsidRPr="009E05DA">
        <w:rPr>
          <w:rFonts w:ascii="GHEA Grapalat" w:hAnsi="GHEA Grapalat"/>
          <w:b/>
          <w:u w:val="single"/>
          <w:lang w:val="af-ZA"/>
        </w:rPr>
        <w:t xml:space="preserve"> </w:t>
      </w:r>
      <w:r w:rsidR="00D02385" w:rsidRPr="009E05DA">
        <w:rPr>
          <w:rFonts w:ascii="GHEA Grapalat" w:hAnsi="GHEA Grapalat"/>
          <w:b/>
          <w:u w:val="single"/>
          <w:lang w:val="hy-AM"/>
        </w:rPr>
        <w:t>մասի</w:t>
      </w:r>
      <w:r w:rsidR="00D50B5F" w:rsidRPr="009E05DA">
        <w:rPr>
          <w:rFonts w:ascii="GHEA Grapalat" w:hAnsi="GHEA Grapalat"/>
          <w:b/>
          <w:u w:val="single"/>
          <w:lang w:val="hy-AM"/>
        </w:rPr>
        <w:t xml:space="preserve"> </w:t>
      </w:r>
      <w:r w:rsidR="003408FF" w:rsidRPr="009E05DA">
        <w:rPr>
          <w:rFonts w:ascii="GHEA Grapalat" w:hAnsi="GHEA Grapalat"/>
          <w:b/>
          <w:u w:val="single"/>
          <w:lang w:val="hy-AM"/>
        </w:rPr>
        <w:t xml:space="preserve">ՀՀ Սահմանադրության համապատասխանության հարցի վերաբերյալ </w:t>
      </w:r>
      <w:r w:rsidR="00D50B5F" w:rsidRPr="009E05DA">
        <w:rPr>
          <w:rFonts w:ascii="GHEA Grapalat" w:hAnsi="GHEA Grapalat"/>
          <w:b/>
          <w:u w:val="single"/>
          <w:lang w:val="hy-AM"/>
        </w:rPr>
        <w:t>Մ</w:t>
      </w:r>
      <w:r w:rsidR="003408FF" w:rsidRPr="009E05DA">
        <w:rPr>
          <w:rFonts w:ascii="GHEA Grapalat" w:hAnsi="GHEA Grapalat"/>
          <w:b/>
          <w:u w:val="single"/>
          <w:lang w:val="hy-AM"/>
        </w:rPr>
        <w:t>արդու իրավունքների պաշտպանի աշխատակազմի վերլուծությունը</w:t>
      </w:r>
    </w:p>
    <w:p w:rsidR="006879D7" w:rsidRPr="009E05DA" w:rsidRDefault="006879D7" w:rsidP="006879D7">
      <w:pPr>
        <w:tabs>
          <w:tab w:val="left" w:pos="0"/>
        </w:tabs>
        <w:spacing w:after="0" w:line="360" w:lineRule="auto"/>
        <w:jc w:val="both"/>
        <w:rPr>
          <w:rFonts w:ascii="GHEA Grapalat" w:hAnsi="GHEA Grapalat"/>
          <w:sz w:val="24"/>
          <w:szCs w:val="24"/>
          <w:lang w:val="hy-AM"/>
        </w:rPr>
      </w:pPr>
      <w:r w:rsidRPr="009E05DA">
        <w:rPr>
          <w:rFonts w:ascii="GHEA Grapalat" w:hAnsi="GHEA Grapalat" w:cs="Sylfaen"/>
          <w:sz w:val="24"/>
          <w:lang w:val="hy-AM"/>
        </w:rPr>
        <w:tab/>
      </w:r>
      <w:r w:rsidR="00D50B5F" w:rsidRPr="009E05DA">
        <w:rPr>
          <w:rFonts w:ascii="GHEA Grapalat" w:hAnsi="GHEA Grapalat"/>
          <w:sz w:val="24"/>
          <w:szCs w:val="24"/>
          <w:lang w:val="hy-AM"/>
        </w:rPr>
        <w:t>Օ</w:t>
      </w:r>
      <w:r w:rsidR="009E32FA" w:rsidRPr="009E05DA">
        <w:rPr>
          <w:rFonts w:ascii="GHEA Grapalat" w:hAnsi="GHEA Grapalat"/>
          <w:sz w:val="24"/>
          <w:szCs w:val="24"/>
          <w:lang w:val="hy-AM"/>
        </w:rPr>
        <w:t xml:space="preserve">րենքի 4-րդ հոդվածի 2-րդ մասի համաձայն՝ համաներման կիրառման դեպքում օրինական ուժի մեջ մտած դատավճռով հաստատված՝ </w:t>
      </w:r>
      <w:r w:rsidR="009E32FA" w:rsidRPr="009E05DA">
        <w:rPr>
          <w:rFonts w:ascii="GHEA Grapalat" w:hAnsi="GHEA Grapalat"/>
          <w:i/>
          <w:sz w:val="24"/>
          <w:szCs w:val="24"/>
          <w:lang w:val="hy-AM"/>
        </w:rPr>
        <w:t>տուժողին պատճառված վնասի հատուցման հարցը կարող է լուծվել Հայաստանի Հանրապետության քաղաքացիական դատավարության օրենսգրքով սահմանված կարգով</w:t>
      </w:r>
      <w:r w:rsidR="009E32FA" w:rsidRPr="009E05DA">
        <w:rPr>
          <w:rFonts w:ascii="GHEA Grapalat" w:hAnsi="GHEA Grapalat"/>
          <w:sz w:val="24"/>
          <w:szCs w:val="24"/>
          <w:lang w:val="hy-AM"/>
        </w:rPr>
        <w:t>։</w:t>
      </w:r>
      <w:r w:rsidR="00D50B5F" w:rsidRPr="009E05DA">
        <w:rPr>
          <w:rFonts w:ascii="GHEA Grapalat" w:hAnsi="GHEA Grapalat"/>
          <w:sz w:val="24"/>
          <w:szCs w:val="24"/>
          <w:lang w:val="hy-AM"/>
        </w:rPr>
        <w:t xml:space="preserve"> </w:t>
      </w:r>
    </w:p>
    <w:p w:rsidR="009E32FA" w:rsidRPr="009E05DA" w:rsidRDefault="006879D7" w:rsidP="000D2A50">
      <w:pPr>
        <w:tabs>
          <w:tab w:val="left" w:pos="0"/>
        </w:tabs>
        <w:spacing w:after="0" w:line="360" w:lineRule="auto"/>
        <w:jc w:val="both"/>
        <w:rPr>
          <w:rFonts w:ascii="GHEA Grapalat" w:hAnsi="GHEA Grapalat"/>
          <w:sz w:val="24"/>
          <w:szCs w:val="24"/>
          <w:lang w:val="hy-AM"/>
        </w:rPr>
      </w:pPr>
      <w:r w:rsidRPr="009E05DA">
        <w:rPr>
          <w:rFonts w:ascii="GHEA Grapalat" w:hAnsi="GHEA Grapalat"/>
          <w:sz w:val="24"/>
          <w:szCs w:val="24"/>
          <w:lang w:val="hy-AM"/>
        </w:rPr>
        <w:tab/>
        <w:t>Ավելին</w:t>
      </w:r>
      <w:r w:rsidR="00D50B5F" w:rsidRPr="009E05DA">
        <w:rPr>
          <w:rFonts w:ascii="GHEA Grapalat" w:hAnsi="GHEA Grapalat"/>
          <w:sz w:val="24"/>
          <w:szCs w:val="24"/>
          <w:lang w:val="hy-AM"/>
        </w:rPr>
        <w:t xml:space="preserve">, </w:t>
      </w:r>
      <w:r w:rsidR="009E32FA" w:rsidRPr="009E05DA">
        <w:rPr>
          <w:rFonts w:ascii="GHEA Grapalat" w:hAnsi="GHEA Grapalat"/>
          <w:sz w:val="24"/>
          <w:szCs w:val="24"/>
          <w:lang w:val="hy-AM"/>
        </w:rPr>
        <w:t xml:space="preserve">Օրենքի 2-րդ հոդվածի 10-րդ </w:t>
      </w:r>
      <w:r w:rsidR="00D167E3" w:rsidRPr="009E05DA">
        <w:rPr>
          <w:rFonts w:ascii="GHEA Grapalat" w:hAnsi="GHEA Grapalat"/>
          <w:sz w:val="24"/>
          <w:szCs w:val="24"/>
          <w:lang w:val="hy-AM"/>
        </w:rPr>
        <w:t xml:space="preserve">մասը </w:t>
      </w:r>
      <w:r w:rsidR="009E32FA" w:rsidRPr="009E05DA">
        <w:rPr>
          <w:rFonts w:ascii="GHEA Grapalat" w:hAnsi="GHEA Grapalat"/>
          <w:sz w:val="24"/>
          <w:szCs w:val="24"/>
          <w:lang w:val="hy-AM"/>
        </w:rPr>
        <w:t xml:space="preserve">սահմանում է այն դեպքերը, </w:t>
      </w:r>
      <w:r w:rsidR="008C6FEA" w:rsidRPr="009E05DA">
        <w:rPr>
          <w:rFonts w:ascii="GHEA Grapalat" w:hAnsi="GHEA Grapalat"/>
          <w:sz w:val="24"/>
          <w:szCs w:val="24"/>
          <w:lang w:val="hy-AM"/>
        </w:rPr>
        <w:t>երբ</w:t>
      </w:r>
      <w:r w:rsidR="009E32FA" w:rsidRPr="009E05DA">
        <w:rPr>
          <w:rFonts w:ascii="GHEA Grapalat" w:hAnsi="GHEA Grapalat"/>
          <w:sz w:val="24"/>
          <w:szCs w:val="24"/>
          <w:lang w:val="hy-AM"/>
        </w:rPr>
        <w:t xml:space="preserve"> համաներումը չի կիրառվում։</w:t>
      </w:r>
      <w:r w:rsidRPr="009E05DA">
        <w:rPr>
          <w:rFonts w:ascii="GHEA Grapalat" w:hAnsi="GHEA Grapalat"/>
          <w:sz w:val="24"/>
          <w:szCs w:val="24"/>
          <w:lang w:val="hy-AM"/>
        </w:rPr>
        <w:t xml:space="preserve"> Ըստ այդմ, </w:t>
      </w:r>
      <w:r w:rsidR="001C6184" w:rsidRPr="009E05DA">
        <w:rPr>
          <w:rFonts w:ascii="GHEA Grapalat" w:hAnsi="GHEA Grapalat"/>
          <w:sz w:val="24"/>
          <w:szCs w:val="24"/>
          <w:lang w:val="hy-AM"/>
        </w:rPr>
        <w:t xml:space="preserve">Օրենքի 4-րդ հոդվածի 2-րդ մասի և 2-րդ հոդվածի 10-րդ մասի բովանդակության </w:t>
      </w:r>
      <w:r w:rsidR="00073468" w:rsidRPr="009E05DA">
        <w:rPr>
          <w:rFonts w:ascii="GHEA Grapalat" w:hAnsi="GHEA Grapalat"/>
          <w:sz w:val="24"/>
          <w:szCs w:val="24"/>
          <w:lang w:val="hy-AM"/>
        </w:rPr>
        <w:t xml:space="preserve">համադիր </w:t>
      </w:r>
      <w:r w:rsidR="001C6184" w:rsidRPr="009E05DA">
        <w:rPr>
          <w:rFonts w:ascii="GHEA Grapalat" w:hAnsi="GHEA Grapalat"/>
          <w:sz w:val="24"/>
          <w:szCs w:val="24"/>
          <w:lang w:val="hy-AM"/>
        </w:rPr>
        <w:t xml:space="preserve">վերլուծությունից կարող ենք փաստել, որ տուժողին պատճառված վնասի հատուցումը </w:t>
      </w:r>
      <w:r w:rsidR="00975122" w:rsidRPr="009E05DA">
        <w:rPr>
          <w:rFonts w:ascii="GHEA Grapalat" w:hAnsi="GHEA Grapalat"/>
          <w:sz w:val="24"/>
          <w:szCs w:val="24"/>
          <w:lang w:val="hy-AM"/>
        </w:rPr>
        <w:t xml:space="preserve">համաներում կիրառելու համար </w:t>
      </w:r>
      <w:r w:rsidR="001C6184" w:rsidRPr="009E05DA">
        <w:rPr>
          <w:rFonts w:ascii="GHEA Grapalat" w:hAnsi="GHEA Grapalat"/>
          <w:sz w:val="24"/>
          <w:szCs w:val="24"/>
          <w:lang w:val="hy-AM"/>
        </w:rPr>
        <w:t>պարտադիր պայման չէ։</w:t>
      </w:r>
    </w:p>
    <w:p w:rsidR="008C6FEA" w:rsidRPr="009E05DA" w:rsidRDefault="006879D7" w:rsidP="00B233B4">
      <w:pPr>
        <w:tabs>
          <w:tab w:val="left" w:pos="0"/>
        </w:tabs>
        <w:spacing w:after="0" w:line="360" w:lineRule="auto"/>
        <w:ind w:firstLine="720"/>
        <w:jc w:val="both"/>
        <w:rPr>
          <w:rFonts w:ascii="GHEA Grapalat" w:hAnsi="GHEA Grapalat"/>
          <w:sz w:val="24"/>
          <w:szCs w:val="24"/>
          <w:lang w:val="hy-AM"/>
        </w:rPr>
      </w:pPr>
      <w:r w:rsidRPr="009E05DA">
        <w:rPr>
          <w:rFonts w:ascii="GHEA Grapalat" w:hAnsi="GHEA Grapalat"/>
          <w:sz w:val="24"/>
          <w:szCs w:val="24"/>
          <w:lang w:val="hy-AM"/>
        </w:rPr>
        <w:t>Ստացվում է, որ մ</w:t>
      </w:r>
      <w:r w:rsidR="00FC6D51" w:rsidRPr="009E05DA">
        <w:rPr>
          <w:rFonts w:ascii="GHEA Grapalat" w:hAnsi="GHEA Grapalat"/>
          <w:sz w:val="24"/>
          <w:szCs w:val="24"/>
          <w:lang w:val="hy-AM"/>
        </w:rPr>
        <w:t xml:space="preserve">ի կողմից պետությունը՝ համաներման մասին օրենքով անձին </w:t>
      </w:r>
      <w:r w:rsidR="005B3BA8" w:rsidRPr="009E05DA">
        <w:rPr>
          <w:rFonts w:ascii="GHEA Grapalat" w:hAnsi="GHEA Grapalat"/>
          <w:sz w:val="24"/>
          <w:szCs w:val="24"/>
          <w:lang w:val="hy-AM"/>
        </w:rPr>
        <w:t xml:space="preserve">տալիս </w:t>
      </w:r>
      <w:r w:rsidR="00FC6D51" w:rsidRPr="009E05DA">
        <w:rPr>
          <w:rFonts w:ascii="GHEA Grapalat" w:hAnsi="GHEA Grapalat"/>
          <w:sz w:val="24"/>
          <w:szCs w:val="24"/>
          <w:lang w:val="hy-AM"/>
        </w:rPr>
        <w:t xml:space="preserve">է </w:t>
      </w:r>
      <w:r w:rsidR="005B3BA8" w:rsidRPr="009E05DA">
        <w:rPr>
          <w:rFonts w:ascii="GHEA Grapalat" w:hAnsi="GHEA Grapalat"/>
          <w:sz w:val="24"/>
          <w:szCs w:val="24"/>
          <w:lang w:val="hy-AM"/>
        </w:rPr>
        <w:t xml:space="preserve">արտոնություն </w:t>
      </w:r>
      <w:r w:rsidR="00FC6D51" w:rsidRPr="009E05DA">
        <w:rPr>
          <w:rFonts w:ascii="GHEA Grapalat" w:hAnsi="GHEA Grapalat"/>
          <w:sz w:val="24"/>
          <w:szCs w:val="24"/>
          <w:lang w:val="hy-AM"/>
        </w:rPr>
        <w:t xml:space="preserve">օրենքով ամրագրված որոշակի պայմաններին բավարարելու դեպքում </w:t>
      </w:r>
      <w:r w:rsidR="00010DCA" w:rsidRPr="009E05DA">
        <w:rPr>
          <w:rFonts w:ascii="GHEA Grapalat" w:hAnsi="GHEA Grapalat"/>
          <w:sz w:val="24"/>
          <w:szCs w:val="24"/>
          <w:lang w:val="hy-AM"/>
        </w:rPr>
        <w:t>ազատվել պատժից, միևնույն ժամանակ</w:t>
      </w:r>
      <w:r w:rsidR="005B3BA8" w:rsidRPr="009E05DA">
        <w:rPr>
          <w:rFonts w:ascii="GHEA Grapalat" w:hAnsi="GHEA Grapalat"/>
          <w:sz w:val="24"/>
          <w:szCs w:val="24"/>
          <w:lang w:val="hy-AM"/>
        </w:rPr>
        <w:t>,</w:t>
      </w:r>
      <w:r w:rsidR="00010DCA" w:rsidRPr="009E05DA">
        <w:rPr>
          <w:rFonts w:ascii="GHEA Grapalat" w:hAnsi="GHEA Grapalat"/>
          <w:sz w:val="24"/>
          <w:szCs w:val="24"/>
          <w:lang w:val="hy-AM"/>
        </w:rPr>
        <w:t xml:space="preserve"> շարունակում են գործել տուժողի իրավունքները, </w:t>
      </w:r>
      <w:r w:rsidR="005B3BA8" w:rsidRPr="009E05DA">
        <w:rPr>
          <w:rFonts w:ascii="GHEA Grapalat" w:hAnsi="GHEA Grapalat"/>
          <w:sz w:val="24"/>
          <w:szCs w:val="24"/>
          <w:lang w:val="hy-AM"/>
        </w:rPr>
        <w:t>որոնցից է նաև</w:t>
      </w:r>
      <w:r w:rsidR="00010DCA" w:rsidRPr="009E05DA">
        <w:rPr>
          <w:rFonts w:ascii="GHEA Grapalat" w:hAnsi="GHEA Grapalat"/>
          <w:sz w:val="24"/>
          <w:szCs w:val="24"/>
          <w:lang w:val="hy-AM"/>
        </w:rPr>
        <w:t xml:space="preserve"> պատճառված վնասի դիմաց հատուցում ստանալու</w:t>
      </w:r>
      <w:r w:rsidR="005B3BA8" w:rsidRPr="009E05DA">
        <w:rPr>
          <w:rFonts w:ascii="GHEA Grapalat" w:hAnsi="GHEA Grapalat"/>
          <w:sz w:val="24"/>
          <w:szCs w:val="24"/>
          <w:lang w:val="hy-AM"/>
        </w:rPr>
        <w:t xml:space="preserve"> իրավունքը</w:t>
      </w:r>
      <w:r w:rsidR="00010DCA" w:rsidRPr="009E05DA">
        <w:rPr>
          <w:rFonts w:ascii="GHEA Grapalat" w:hAnsi="GHEA Grapalat"/>
          <w:sz w:val="24"/>
          <w:szCs w:val="24"/>
          <w:lang w:val="hy-AM"/>
        </w:rPr>
        <w:t xml:space="preserve">: </w:t>
      </w:r>
      <w:r w:rsidR="00FC6D51" w:rsidRPr="009E05DA">
        <w:rPr>
          <w:rFonts w:ascii="GHEA Grapalat" w:hAnsi="GHEA Grapalat"/>
          <w:sz w:val="24"/>
          <w:szCs w:val="24"/>
          <w:lang w:val="hy-AM"/>
        </w:rPr>
        <w:t>Տվյալ պարագայում</w:t>
      </w:r>
      <w:r w:rsidR="005B3BA8" w:rsidRPr="009E05DA">
        <w:rPr>
          <w:rFonts w:ascii="GHEA Grapalat" w:hAnsi="GHEA Grapalat"/>
          <w:sz w:val="24"/>
          <w:szCs w:val="24"/>
          <w:lang w:val="hy-AM"/>
        </w:rPr>
        <w:t>,</w:t>
      </w:r>
      <w:r w:rsidR="00FC6D51" w:rsidRPr="009E05DA">
        <w:rPr>
          <w:rFonts w:ascii="GHEA Grapalat" w:hAnsi="GHEA Grapalat"/>
          <w:sz w:val="24"/>
          <w:szCs w:val="24"/>
          <w:lang w:val="hy-AM"/>
        </w:rPr>
        <w:t xml:space="preserve"> </w:t>
      </w:r>
      <w:r w:rsidRPr="009E05DA">
        <w:rPr>
          <w:rFonts w:ascii="GHEA Grapalat" w:hAnsi="GHEA Grapalat"/>
          <w:sz w:val="24"/>
          <w:szCs w:val="24"/>
          <w:lang w:val="hy-AM"/>
        </w:rPr>
        <w:t>հարցն</w:t>
      </w:r>
      <w:r w:rsidR="00FC6D51" w:rsidRPr="009E05DA">
        <w:rPr>
          <w:rFonts w:ascii="GHEA Grapalat" w:hAnsi="GHEA Grapalat"/>
          <w:sz w:val="24"/>
          <w:szCs w:val="24"/>
          <w:lang w:val="hy-AM"/>
        </w:rPr>
        <w:t xml:space="preserve"> անհրաժեշտ է դիտարկել համաներմամբ պատժից ազատվող </w:t>
      </w:r>
      <w:r w:rsidR="005B3BA8" w:rsidRPr="009E05DA">
        <w:rPr>
          <w:rFonts w:ascii="GHEA Grapalat" w:hAnsi="GHEA Grapalat"/>
          <w:sz w:val="24"/>
          <w:szCs w:val="24"/>
          <w:lang w:val="hy-AM"/>
        </w:rPr>
        <w:t xml:space="preserve">անձի </w:t>
      </w:r>
      <w:r w:rsidR="00FC6D51" w:rsidRPr="009E05DA">
        <w:rPr>
          <w:rFonts w:ascii="GHEA Grapalat" w:hAnsi="GHEA Grapalat"/>
          <w:sz w:val="24"/>
          <w:szCs w:val="24"/>
          <w:lang w:val="hy-AM"/>
        </w:rPr>
        <w:t xml:space="preserve">և տուժողի իրավունքների համադրման տեսանկյունից: </w:t>
      </w:r>
      <w:r w:rsidR="006A58EA" w:rsidRPr="009E05DA">
        <w:rPr>
          <w:rFonts w:ascii="GHEA Grapalat" w:hAnsi="GHEA Grapalat"/>
          <w:sz w:val="24"/>
          <w:szCs w:val="24"/>
          <w:lang w:val="hy-AM"/>
        </w:rPr>
        <w:t xml:space="preserve">Տուժողի՝ վնասի հատուցման իրավունքի իրացման եղանակներից է դատարանի միջոցով վնասի </w:t>
      </w:r>
      <w:r w:rsidR="005B3BA8" w:rsidRPr="009E05DA">
        <w:rPr>
          <w:rFonts w:ascii="GHEA Grapalat" w:hAnsi="GHEA Grapalat"/>
          <w:sz w:val="24"/>
          <w:szCs w:val="24"/>
          <w:lang w:val="hy-AM"/>
        </w:rPr>
        <w:t>հատուցում ստանալը</w:t>
      </w:r>
      <w:r w:rsidR="006A58EA" w:rsidRPr="009E05DA">
        <w:rPr>
          <w:rFonts w:ascii="GHEA Grapalat" w:hAnsi="GHEA Grapalat"/>
          <w:sz w:val="24"/>
          <w:szCs w:val="24"/>
          <w:lang w:val="hy-AM"/>
        </w:rPr>
        <w:t>, ուստի խնդիրն անհրաժեշտ է դիտարկել արդար դատաքննության իրավունքի տեսանկյունից:</w:t>
      </w:r>
    </w:p>
    <w:p w:rsidR="008B1834" w:rsidRPr="009E05DA" w:rsidRDefault="004F2A94" w:rsidP="00B233B4">
      <w:pPr>
        <w:tabs>
          <w:tab w:val="left" w:pos="0"/>
        </w:tabs>
        <w:spacing w:after="0" w:line="360" w:lineRule="auto"/>
        <w:ind w:firstLine="720"/>
        <w:jc w:val="both"/>
        <w:rPr>
          <w:rFonts w:ascii="GHEA Grapalat" w:hAnsi="GHEA Grapalat"/>
          <w:sz w:val="24"/>
          <w:szCs w:val="24"/>
          <w:lang w:val="hy-AM"/>
        </w:rPr>
      </w:pPr>
      <w:r w:rsidRPr="009E05DA">
        <w:rPr>
          <w:rFonts w:ascii="GHEA Grapalat" w:hAnsi="GHEA Grapalat"/>
          <w:sz w:val="24"/>
          <w:szCs w:val="24"/>
          <w:lang w:val="hy-AM"/>
        </w:rPr>
        <w:lastRenderedPageBreak/>
        <w:t>Պետությունը հանդես է գալիս որպես մարդու հիմնարար իրավունքների երաշխավորող, որի իրականացման եղանակներից մեկն էլ իրավական պաշտ</w:t>
      </w:r>
      <w:r w:rsidR="005678FD" w:rsidRPr="009E05DA">
        <w:rPr>
          <w:rFonts w:ascii="GHEA Grapalat" w:hAnsi="GHEA Grapalat"/>
          <w:sz w:val="24"/>
          <w:szCs w:val="24"/>
          <w:lang w:val="hy-AM"/>
        </w:rPr>
        <w:t>պ</w:t>
      </w:r>
      <w:r w:rsidRPr="009E05DA">
        <w:rPr>
          <w:rFonts w:ascii="GHEA Grapalat" w:hAnsi="GHEA Grapalat"/>
          <w:sz w:val="24"/>
          <w:szCs w:val="24"/>
          <w:lang w:val="hy-AM"/>
        </w:rPr>
        <w:t>անությունն է դատարանների միջոցով։</w:t>
      </w:r>
      <w:r w:rsidR="007363BE" w:rsidRPr="009E05DA">
        <w:rPr>
          <w:rFonts w:ascii="GHEA Grapalat" w:hAnsi="GHEA Grapalat"/>
          <w:sz w:val="24"/>
          <w:szCs w:val="24"/>
          <w:lang w:val="hy-AM"/>
        </w:rPr>
        <w:t xml:space="preserve"> </w:t>
      </w:r>
      <w:r w:rsidRPr="009E05DA">
        <w:rPr>
          <w:rFonts w:ascii="GHEA Grapalat" w:hAnsi="GHEA Grapalat"/>
          <w:sz w:val="24"/>
          <w:szCs w:val="24"/>
          <w:lang w:val="hy-AM"/>
        </w:rPr>
        <w:t>Հենց այս երաշխիքն էլ ամրագրվել է Սահմանադրության 61-րդ հոդվածում, որի 1-ին մասի համաձայն՝ յուրաքանչյուր ոք ունի իր իրավունքների և ազատությունների արդյունավետ դատական պաշտպանության իրավունք:</w:t>
      </w:r>
    </w:p>
    <w:p w:rsidR="00535033" w:rsidRPr="009E05DA" w:rsidRDefault="00535033" w:rsidP="00B233B4">
      <w:pPr>
        <w:tabs>
          <w:tab w:val="left" w:pos="0"/>
        </w:tabs>
        <w:spacing w:after="0" w:line="360" w:lineRule="auto"/>
        <w:ind w:firstLine="720"/>
        <w:jc w:val="both"/>
        <w:rPr>
          <w:rFonts w:ascii="GHEA Grapalat" w:hAnsi="GHEA Grapalat"/>
          <w:sz w:val="24"/>
          <w:szCs w:val="24"/>
          <w:lang w:val="hy-AM"/>
        </w:rPr>
      </w:pPr>
      <w:r w:rsidRPr="009E05DA">
        <w:rPr>
          <w:rFonts w:ascii="GHEA Grapalat" w:hAnsi="GHEA Grapalat"/>
          <w:sz w:val="24"/>
          <w:szCs w:val="24"/>
          <w:lang w:val="hy-AM"/>
        </w:rPr>
        <w:t xml:space="preserve">Արդյունավետ դատական պաշտպանությունը հանդիսանում է հիմնական եղանակներից մեկը, որի միջոցով իրականացվում </w:t>
      </w:r>
      <w:r w:rsidR="008C617D" w:rsidRPr="009E05DA">
        <w:rPr>
          <w:rFonts w:ascii="GHEA Grapalat" w:hAnsi="GHEA Grapalat"/>
          <w:sz w:val="24"/>
          <w:szCs w:val="24"/>
          <w:lang w:val="hy-AM"/>
        </w:rPr>
        <w:t xml:space="preserve">է </w:t>
      </w:r>
      <w:r w:rsidR="0011722D" w:rsidRPr="009E05DA">
        <w:rPr>
          <w:rFonts w:ascii="GHEA Grapalat" w:hAnsi="GHEA Grapalat"/>
          <w:sz w:val="24"/>
          <w:szCs w:val="24"/>
          <w:lang w:val="hy-AM"/>
        </w:rPr>
        <w:t xml:space="preserve">Սահմանադրության 60-րդ հոդվածով </w:t>
      </w:r>
      <w:r w:rsidRPr="009E05DA">
        <w:rPr>
          <w:rFonts w:ascii="GHEA Grapalat" w:hAnsi="GHEA Grapalat"/>
          <w:sz w:val="24"/>
          <w:szCs w:val="24"/>
          <w:lang w:val="hy-AM"/>
        </w:rPr>
        <w:t>ամրագրված</w:t>
      </w:r>
      <w:r w:rsidR="0011722D" w:rsidRPr="009E05DA">
        <w:rPr>
          <w:rFonts w:ascii="GHEA Grapalat" w:hAnsi="GHEA Grapalat"/>
          <w:sz w:val="24"/>
          <w:szCs w:val="24"/>
          <w:lang w:val="hy-AM"/>
        </w:rPr>
        <w:t xml:space="preserve"> սեփականության </w:t>
      </w:r>
      <w:r w:rsidRPr="009E05DA">
        <w:rPr>
          <w:rFonts w:ascii="GHEA Grapalat" w:hAnsi="GHEA Grapalat"/>
          <w:sz w:val="24"/>
          <w:szCs w:val="24"/>
          <w:lang w:val="hy-AM"/>
        </w:rPr>
        <w:t>իրավունք</w:t>
      </w:r>
      <w:r w:rsidR="00D02385" w:rsidRPr="009E05DA">
        <w:rPr>
          <w:rFonts w:ascii="GHEA Grapalat" w:hAnsi="GHEA Grapalat"/>
          <w:sz w:val="24"/>
          <w:szCs w:val="24"/>
          <w:lang w:val="hy-AM"/>
        </w:rPr>
        <w:t>ի</w:t>
      </w:r>
      <w:r w:rsidRPr="009E05DA">
        <w:rPr>
          <w:rFonts w:ascii="GHEA Grapalat" w:hAnsi="GHEA Grapalat"/>
          <w:sz w:val="24"/>
          <w:szCs w:val="24"/>
          <w:lang w:val="hy-AM"/>
        </w:rPr>
        <w:t xml:space="preserve"> առանց խոչընդոտների </w:t>
      </w:r>
      <w:r w:rsidR="008C617D" w:rsidRPr="009E05DA">
        <w:rPr>
          <w:rFonts w:ascii="GHEA Grapalat" w:hAnsi="GHEA Grapalat"/>
          <w:sz w:val="24"/>
          <w:szCs w:val="24"/>
          <w:lang w:val="hy-AM"/>
        </w:rPr>
        <w:t>իրականացումը և այդ իրավունքի պաշտպանությունը։</w:t>
      </w:r>
    </w:p>
    <w:p w:rsidR="001A4CCB" w:rsidRPr="009E05DA" w:rsidRDefault="00C2279F" w:rsidP="00B233B4">
      <w:pPr>
        <w:tabs>
          <w:tab w:val="left" w:pos="0"/>
        </w:tabs>
        <w:spacing w:after="0" w:line="360" w:lineRule="auto"/>
        <w:ind w:firstLine="720"/>
        <w:jc w:val="both"/>
        <w:rPr>
          <w:rFonts w:ascii="GHEA Grapalat" w:hAnsi="GHEA Grapalat"/>
          <w:sz w:val="24"/>
          <w:szCs w:val="24"/>
          <w:lang w:val="hy-AM"/>
        </w:rPr>
      </w:pPr>
      <w:r w:rsidRPr="009E05DA">
        <w:rPr>
          <w:rFonts w:ascii="GHEA Grapalat" w:hAnsi="GHEA Grapalat"/>
          <w:sz w:val="24"/>
          <w:szCs w:val="24"/>
          <w:lang w:val="hy-AM"/>
        </w:rPr>
        <w:t>Այսինքն</w:t>
      </w:r>
      <w:r w:rsidR="009719DB" w:rsidRPr="009E05DA">
        <w:rPr>
          <w:rFonts w:ascii="GHEA Grapalat" w:hAnsi="GHEA Grapalat"/>
          <w:sz w:val="24"/>
          <w:szCs w:val="24"/>
          <w:lang w:val="hy-AM"/>
        </w:rPr>
        <w:t>,</w:t>
      </w:r>
      <w:r w:rsidRPr="009E05DA">
        <w:rPr>
          <w:rFonts w:ascii="GHEA Grapalat" w:hAnsi="GHEA Grapalat"/>
          <w:sz w:val="24"/>
          <w:szCs w:val="24"/>
          <w:lang w:val="hy-AM"/>
        </w:rPr>
        <w:t xml:space="preserve"> </w:t>
      </w:r>
      <w:r w:rsidR="00D02385" w:rsidRPr="009E05DA">
        <w:rPr>
          <w:rFonts w:ascii="GHEA Grapalat" w:hAnsi="GHEA Grapalat"/>
          <w:sz w:val="24"/>
          <w:szCs w:val="24"/>
          <w:lang w:val="hy-AM"/>
        </w:rPr>
        <w:t xml:space="preserve">Օրենքի 4-րդ հոդվածի 2-րդ մասից և 2-րդ հոդվածի 10-րդ մասից կարող ենք բխեցնել, որ չնախատեսելով </w:t>
      </w:r>
      <w:r w:rsidR="005B3BA8" w:rsidRPr="009E05DA">
        <w:rPr>
          <w:rFonts w:ascii="GHEA Grapalat" w:hAnsi="GHEA Grapalat"/>
          <w:sz w:val="24"/>
          <w:szCs w:val="24"/>
          <w:lang w:val="hy-AM"/>
        </w:rPr>
        <w:t xml:space="preserve">տուժողին </w:t>
      </w:r>
      <w:r w:rsidR="00D02385" w:rsidRPr="009E05DA">
        <w:rPr>
          <w:rFonts w:ascii="GHEA Grapalat" w:hAnsi="GHEA Grapalat"/>
          <w:sz w:val="24"/>
          <w:szCs w:val="24"/>
          <w:lang w:val="hy-AM"/>
        </w:rPr>
        <w:t>պատճառված վնասի հատուցումը</w:t>
      </w:r>
      <w:r w:rsidR="005B3BA8" w:rsidRPr="009E05DA">
        <w:rPr>
          <w:rFonts w:ascii="GHEA Grapalat" w:hAnsi="GHEA Grapalat"/>
          <w:sz w:val="24"/>
          <w:szCs w:val="24"/>
          <w:lang w:val="hy-AM"/>
        </w:rPr>
        <w:t>՝</w:t>
      </w:r>
      <w:r w:rsidR="00D02385" w:rsidRPr="009E05DA">
        <w:rPr>
          <w:rFonts w:ascii="GHEA Grapalat" w:hAnsi="GHEA Grapalat"/>
          <w:sz w:val="24"/>
          <w:szCs w:val="24"/>
          <w:lang w:val="hy-AM"/>
        </w:rPr>
        <w:t xml:space="preserve"> որպես համաներում կիրառելու </w:t>
      </w:r>
      <w:r w:rsidR="005B3BA8" w:rsidRPr="009E05DA">
        <w:rPr>
          <w:rFonts w:ascii="GHEA Grapalat" w:hAnsi="GHEA Grapalat"/>
          <w:sz w:val="24"/>
          <w:szCs w:val="24"/>
          <w:lang w:val="hy-AM"/>
        </w:rPr>
        <w:t xml:space="preserve">պարտադիր պայման, </w:t>
      </w:r>
      <w:r w:rsidR="00341FDE" w:rsidRPr="009E05DA">
        <w:rPr>
          <w:rFonts w:ascii="GHEA Grapalat" w:hAnsi="GHEA Grapalat"/>
          <w:sz w:val="24"/>
          <w:szCs w:val="24"/>
          <w:lang w:val="hy-AM"/>
        </w:rPr>
        <w:t>որպես տուժողի իրավունքի իրացման ճանապարհ</w:t>
      </w:r>
      <w:r w:rsidR="005B3BA8" w:rsidRPr="009E05DA">
        <w:rPr>
          <w:rFonts w:ascii="GHEA Grapalat" w:hAnsi="GHEA Grapalat"/>
          <w:sz w:val="24"/>
          <w:szCs w:val="24"/>
          <w:lang w:val="hy-AM"/>
        </w:rPr>
        <w:t>՝</w:t>
      </w:r>
      <w:r w:rsidR="00341FDE" w:rsidRPr="009E05DA">
        <w:rPr>
          <w:rFonts w:ascii="GHEA Grapalat" w:hAnsi="GHEA Grapalat"/>
          <w:sz w:val="24"/>
          <w:szCs w:val="24"/>
          <w:lang w:val="hy-AM"/>
        </w:rPr>
        <w:t xml:space="preserve"> օրենքը նախատեսում է տուժողի կողմից հավելյալ գործողության կատարում</w:t>
      </w:r>
      <w:r w:rsidR="005B3BA8" w:rsidRPr="009E05DA">
        <w:rPr>
          <w:rFonts w:ascii="GHEA Grapalat" w:hAnsi="GHEA Grapalat"/>
          <w:sz w:val="24"/>
          <w:szCs w:val="24"/>
          <w:lang w:val="hy-AM"/>
        </w:rPr>
        <w:t xml:space="preserve">, այն է՝ </w:t>
      </w:r>
      <w:r w:rsidR="00341FDE" w:rsidRPr="009E05DA">
        <w:rPr>
          <w:rFonts w:ascii="GHEA Grapalat" w:hAnsi="GHEA Grapalat"/>
          <w:sz w:val="24"/>
          <w:szCs w:val="24"/>
          <w:lang w:val="hy-AM"/>
        </w:rPr>
        <w:t xml:space="preserve">քաղաքացիական դատավարության շրջանակներում </w:t>
      </w:r>
      <w:r w:rsidR="005B3BA8" w:rsidRPr="009E05DA">
        <w:rPr>
          <w:rFonts w:ascii="GHEA Grapalat" w:hAnsi="GHEA Grapalat"/>
          <w:sz w:val="24"/>
          <w:szCs w:val="24"/>
          <w:lang w:val="hy-AM"/>
        </w:rPr>
        <w:t>հայց հարուցելը</w:t>
      </w:r>
      <w:r w:rsidR="00341FDE" w:rsidRPr="009E05DA">
        <w:rPr>
          <w:rFonts w:ascii="GHEA Grapalat" w:hAnsi="GHEA Grapalat"/>
          <w:sz w:val="24"/>
          <w:szCs w:val="24"/>
          <w:lang w:val="hy-AM"/>
        </w:rPr>
        <w:t xml:space="preserve">: </w:t>
      </w:r>
    </w:p>
    <w:p w:rsidR="004F2A94" w:rsidRPr="009E05DA" w:rsidRDefault="009B045E" w:rsidP="00B233B4">
      <w:pPr>
        <w:tabs>
          <w:tab w:val="left" w:pos="0"/>
        </w:tabs>
        <w:spacing w:after="0" w:line="360" w:lineRule="auto"/>
        <w:ind w:firstLine="720"/>
        <w:jc w:val="both"/>
        <w:rPr>
          <w:rFonts w:ascii="GHEA Grapalat" w:hAnsi="GHEA Grapalat"/>
          <w:sz w:val="24"/>
          <w:szCs w:val="24"/>
          <w:lang w:val="hy-AM"/>
        </w:rPr>
      </w:pPr>
      <w:r w:rsidRPr="009E05DA">
        <w:rPr>
          <w:rFonts w:ascii="GHEA Grapalat" w:hAnsi="GHEA Grapalat"/>
          <w:sz w:val="24"/>
          <w:szCs w:val="24"/>
          <w:lang w:val="hy-AM"/>
        </w:rPr>
        <w:t>Այս պարագայում խնդիր է առաջանում գնահատել, թե որքանով է նշված կառուցակարգը բավարար և իրավաչափ՝ տուժողի իրավունքների պաշտպանության տեսանկյունից: Այսպես, դ</w:t>
      </w:r>
      <w:r w:rsidR="007772D9" w:rsidRPr="009E05DA">
        <w:rPr>
          <w:rFonts w:ascii="GHEA Grapalat" w:hAnsi="GHEA Grapalat"/>
          <w:sz w:val="24"/>
          <w:szCs w:val="24"/>
          <w:lang w:val="hy-AM"/>
        </w:rPr>
        <w:t>ատական պաշտպանության իրավունքի</w:t>
      </w:r>
      <w:r w:rsidR="00535033" w:rsidRPr="009E05DA">
        <w:rPr>
          <w:rFonts w:ascii="GHEA Grapalat" w:hAnsi="GHEA Grapalat"/>
          <w:sz w:val="24"/>
          <w:szCs w:val="24"/>
          <w:lang w:val="hy-AM"/>
        </w:rPr>
        <w:t xml:space="preserve"> հետ</w:t>
      </w:r>
      <w:r w:rsidR="00F35D9F" w:rsidRPr="009E05DA">
        <w:rPr>
          <w:rFonts w:ascii="GHEA Grapalat" w:hAnsi="GHEA Grapalat"/>
          <w:sz w:val="24"/>
          <w:szCs w:val="24"/>
          <w:lang w:val="hy-AM"/>
        </w:rPr>
        <w:t xml:space="preserve"> </w:t>
      </w:r>
      <w:r w:rsidR="007772D9" w:rsidRPr="009E05DA">
        <w:rPr>
          <w:rFonts w:ascii="GHEA Grapalat" w:hAnsi="GHEA Grapalat"/>
          <w:sz w:val="24"/>
          <w:szCs w:val="24"/>
          <w:lang w:val="hy-AM"/>
        </w:rPr>
        <w:t xml:space="preserve">սերտորեն </w:t>
      </w:r>
      <w:r w:rsidR="00F35D9F" w:rsidRPr="009E05DA">
        <w:rPr>
          <w:rFonts w:ascii="GHEA Grapalat" w:hAnsi="GHEA Grapalat"/>
          <w:sz w:val="24"/>
          <w:szCs w:val="24"/>
          <w:lang w:val="hy-AM"/>
        </w:rPr>
        <w:t>փոխկապակցված է նաև անձի</w:t>
      </w:r>
      <w:r w:rsidR="00B233B4" w:rsidRPr="009E05DA">
        <w:rPr>
          <w:rFonts w:ascii="GHEA Grapalat" w:hAnsi="GHEA Grapalat"/>
          <w:sz w:val="24"/>
          <w:szCs w:val="24"/>
          <w:lang w:val="hy-AM"/>
        </w:rPr>
        <w:t xml:space="preserve"> հիմնական իրավունք համարվող</w:t>
      </w:r>
      <w:r w:rsidR="00CD511E" w:rsidRPr="009E05DA">
        <w:rPr>
          <w:rFonts w:ascii="GHEA Grapalat" w:hAnsi="GHEA Grapalat"/>
          <w:sz w:val="24"/>
          <w:szCs w:val="24"/>
          <w:lang w:val="hy-AM"/>
        </w:rPr>
        <w:t>՝</w:t>
      </w:r>
      <w:r w:rsidR="00F35D9F" w:rsidRPr="009E05DA">
        <w:rPr>
          <w:rFonts w:ascii="GHEA Grapalat" w:hAnsi="GHEA Grapalat"/>
          <w:sz w:val="24"/>
          <w:szCs w:val="24"/>
          <w:lang w:val="hy-AM"/>
        </w:rPr>
        <w:t xml:space="preserve"> արդար դատաքննության իրավունքը, որ</w:t>
      </w:r>
      <w:r w:rsidR="007772D9" w:rsidRPr="009E05DA">
        <w:rPr>
          <w:rFonts w:ascii="GHEA Grapalat" w:hAnsi="GHEA Grapalat"/>
          <w:sz w:val="24"/>
          <w:szCs w:val="24"/>
          <w:lang w:val="hy-AM"/>
        </w:rPr>
        <w:t>ն</w:t>
      </w:r>
      <w:r w:rsidR="00F35D9F" w:rsidRPr="009E05DA">
        <w:rPr>
          <w:rFonts w:ascii="GHEA Grapalat" w:hAnsi="GHEA Grapalat"/>
          <w:sz w:val="24"/>
          <w:szCs w:val="24"/>
          <w:lang w:val="hy-AM"/>
        </w:rPr>
        <w:t xml:space="preserve"> իր ամրագրումն է ստացել Սահմանադրության 63-րդ հոդվածում։ Վերջինիս 1-ին մասի համաձայն՝ </w:t>
      </w:r>
      <w:r w:rsidR="00F35D9F" w:rsidRPr="009E05DA">
        <w:rPr>
          <w:rFonts w:ascii="Calibri" w:hAnsi="Calibri" w:cs="Calibri"/>
          <w:sz w:val="24"/>
          <w:szCs w:val="24"/>
          <w:lang w:val="hy-AM"/>
        </w:rPr>
        <w:t> </w:t>
      </w:r>
      <w:r w:rsidR="00F35D9F" w:rsidRPr="009E05DA">
        <w:rPr>
          <w:rFonts w:ascii="GHEA Grapalat" w:hAnsi="GHEA Grapalat"/>
          <w:sz w:val="24"/>
          <w:szCs w:val="24"/>
          <w:lang w:val="hy-AM"/>
        </w:rPr>
        <w:t>յուրաքանչյուր ոք ունի անկախ և անաչառ դատարանի կողմից իր գործի արդարացի, հրապարակային և ողջամիտ ժամկետում քննության իրավունք:</w:t>
      </w:r>
    </w:p>
    <w:p w:rsidR="00F35D9F" w:rsidRPr="009E05DA" w:rsidRDefault="00F35D9F" w:rsidP="00B233B4">
      <w:pPr>
        <w:tabs>
          <w:tab w:val="left" w:pos="0"/>
        </w:tabs>
        <w:spacing w:after="0" w:line="360" w:lineRule="auto"/>
        <w:ind w:firstLine="720"/>
        <w:jc w:val="both"/>
        <w:rPr>
          <w:rFonts w:ascii="GHEA Grapalat" w:hAnsi="GHEA Grapalat"/>
          <w:sz w:val="24"/>
          <w:szCs w:val="24"/>
          <w:lang w:val="hy-AM"/>
        </w:rPr>
      </w:pPr>
      <w:r w:rsidRPr="009E05DA">
        <w:rPr>
          <w:rFonts w:ascii="GHEA Grapalat" w:hAnsi="GHEA Grapalat"/>
          <w:sz w:val="24"/>
          <w:szCs w:val="24"/>
          <w:lang w:val="hy-AM"/>
        </w:rPr>
        <w:t xml:space="preserve">Արդար դատաքննության </w:t>
      </w:r>
      <w:r w:rsidR="007772D9" w:rsidRPr="009E05DA">
        <w:rPr>
          <w:rFonts w:ascii="GHEA Grapalat" w:hAnsi="GHEA Grapalat"/>
          <w:sz w:val="24"/>
          <w:szCs w:val="24"/>
          <w:lang w:val="hy-AM"/>
        </w:rPr>
        <w:t xml:space="preserve">իրավունքն </w:t>
      </w:r>
      <w:r w:rsidRPr="009E05DA">
        <w:rPr>
          <w:rFonts w:ascii="GHEA Grapalat" w:hAnsi="GHEA Grapalat"/>
          <w:sz w:val="24"/>
          <w:szCs w:val="24"/>
          <w:lang w:val="hy-AM"/>
        </w:rPr>
        <w:t xml:space="preserve">իր ամրագրումն է ստացել նաև «Մարդու իրավունքների </w:t>
      </w:r>
      <w:r w:rsidR="00B233B4" w:rsidRPr="009E05DA">
        <w:rPr>
          <w:rFonts w:ascii="GHEA Grapalat" w:hAnsi="GHEA Grapalat"/>
          <w:sz w:val="24"/>
          <w:szCs w:val="24"/>
          <w:lang w:val="hy-AM"/>
        </w:rPr>
        <w:t>և</w:t>
      </w:r>
      <w:r w:rsidRPr="009E05DA">
        <w:rPr>
          <w:rFonts w:ascii="GHEA Grapalat" w:hAnsi="GHEA Grapalat"/>
          <w:sz w:val="24"/>
          <w:szCs w:val="24"/>
          <w:lang w:val="hy-AM"/>
        </w:rPr>
        <w:t xml:space="preserve"> հիմնարար ազատությունների պաշտպանության մասին</w:t>
      </w:r>
      <w:r w:rsidR="001D2EB4" w:rsidRPr="009E05DA">
        <w:rPr>
          <w:rFonts w:ascii="GHEA Grapalat" w:hAnsi="GHEA Grapalat"/>
          <w:sz w:val="24"/>
          <w:szCs w:val="24"/>
          <w:lang w:val="hy-AM"/>
        </w:rPr>
        <w:t>»</w:t>
      </w:r>
      <w:r w:rsidRPr="009E05DA">
        <w:rPr>
          <w:rFonts w:ascii="GHEA Grapalat" w:hAnsi="GHEA Grapalat"/>
          <w:sz w:val="24"/>
          <w:szCs w:val="24"/>
          <w:lang w:val="hy-AM"/>
        </w:rPr>
        <w:t xml:space="preserve"> </w:t>
      </w:r>
      <w:r w:rsidR="001D2EB4" w:rsidRPr="009E05DA">
        <w:rPr>
          <w:rFonts w:ascii="GHEA Grapalat" w:hAnsi="GHEA Grapalat"/>
          <w:sz w:val="24"/>
          <w:szCs w:val="24"/>
          <w:lang w:val="hy-AM"/>
        </w:rPr>
        <w:t>Ե</w:t>
      </w:r>
      <w:r w:rsidRPr="009E05DA">
        <w:rPr>
          <w:rFonts w:ascii="GHEA Grapalat" w:hAnsi="GHEA Grapalat"/>
          <w:sz w:val="24"/>
          <w:szCs w:val="24"/>
          <w:lang w:val="hy-AM"/>
        </w:rPr>
        <w:t>վրոպական կոնվե</w:t>
      </w:r>
      <w:r w:rsidR="00771ADC" w:rsidRPr="009E05DA">
        <w:rPr>
          <w:rFonts w:ascii="GHEA Grapalat" w:hAnsi="GHEA Grapalat"/>
          <w:sz w:val="24"/>
          <w:szCs w:val="24"/>
          <w:lang w:val="hy-AM"/>
        </w:rPr>
        <w:t>ն</w:t>
      </w:r>
      <w:r w:rsidRPr="009E05DA">
        <w:rPr>
          <w:rFonts w:ascii="GHEA Grapalat" w:hAnsi="GHEA Grapalat"/>
          <w:sz w:val="24"/>
          <w:szCs w:val="24"/>
          <w:lang w:val="hy-AM"/>
        </w:rPr>
        <w:t>ցիա</w:t>
      </w:r>
      <w:r w:rsidR="001D2EB4" w:rsidRPr="009E05DA">
        <w:rPr>
          <w:rFonts w:ascii="GHEA Grapalat" w:hAnsi="GHEA Grapalat"/>
          <w:sz w:val="24"/>
          <w:szCs w:val="24"/>
          <w:lang w:val="hy-AM"/>
        </w:rPr>
        <w:t xml:space="preserve">յի </w:t>
      </w:r>
      <w:r w:rsidR="007772D9" w:rsidRPr="009E05DA">
        <w:rPr>
          <w:rFonts w:ascii="GHEA Grapalat" w:hAnsi="GHEA Grapalat"/>
          <w:sz w:val="24"/>
          <w:szCs w:val="24"/>
          <w:lang w:val="hy-AM"/>
        </w:rPr>
        <w:t xml:space="preserve">6-րդ </w:t>
      </w:r>
      <w:r w:rsidR="001D2EB4" w:rsidRPr="009E05DA">
        <w:rPr>
          <w:rFonts w:ascii="GHEA Grapalat" w:hAnsi="GHEA Grapalat"/>
          <w:sz w:val="24"/>
          <w:szCs w:val="24"/>
          <w:lang w:val="hy-AM"/>
        </w:rPr>
        <w:t>հոդված</w:t>
      </w:r>
      <w:r w:rsidR="007772D9" w:rsidRPr="009E05DA">
        <w:rPr>
          <w:rFonts w:ascii="GHEA Grapalat" w:hAnsi="GHEA Grapalat"/>
          <w:sz w:val="24"/>
          <w:szCs w:val="24"/>
          <w:lang w:val="hy-AM"/>
        </w:rPr>
        <w:t>ում</w:t>
      </w:r>
      <w:r w:rsidR="001D2EB4" w:rsidRPr="009E05DA">
        <w:rPr>
          <w:rFonts w:ascii="GHEA Grapalat" w:hAnsi="GHEA Grapalat"/>
          <w:sz w:val="24"/>
          <w:szCs w:val="24"/>
          <w:lang w:val="hy-AM"/>
        </w:rPr>
        <w:t xml:space="preserve">, որի համաձայն՝ «Յուրաքանչյուր ոք, երբ որոշվում են նրա քաղաքացիական իրավունքներն ու պարտականությունները կամ նրան ներկայացված ցանկացած քրեական մեղադրանքի առնչությամբ, ունի օրենքի հիման վրա ստեղծված </w:t>
      </w:r>
      <w:r w:rsidR="001D2EB4" w:rsidRPr="009E05DA">
        <w:rPr>
          <w:rFonts w:ascii="GHEA Grapalat" w:hAnsi="GHEA Grapalat"/>
          <w:sz w:val="24"/>
          <w:szCs w:val="24"/>
          <w:lang w:val="hy-AM"/>
        </w:rPr>
        <w:lastRenderedPageBreak/>
        <w:t>անկախ ու անաչառ դատարանի կողմից ողջամիտ ժամկետում արդարացի և հրապարակային դատաքննության իրավունք:»</w:t>
      </w:r>
    </w:p>
    <w:p w:rsidR="00CA3353" w:rsidRPr="009E05DA" w:rsidRDefault="00B233B4" w:rsidP="00B233B4">
      <w:pPr>
        <w:tabs>
          <w:tab w:val="left" w:pos="0"/>
        </w:tabs>
        <w:spacing w:after="0" w:line="360" w:lineRule="auto"/>
        <w:ind w:firstLine="720"/>
        <w:jc w:val="both"/>
        <w:rPr>
          <w:rFonts w:ascii="GHEA Grapalat" w:hAnsi="GHEA Grapalat"/>
          <w:sz w:val="24"/>
          <w:szCs w:val="24"/>
          <w:lang w:val="hy-AM"/>
        </w:rPr>
      </w:pPr>
      <w:r w:rsidRPr="009E05DA">
        <w:rPr>
          <w:rFonts w:ascii="GHEA Grapalat" w:hAnsi="GHEA Grapalat"/>
          <w:sz w:val="24"/>
          <w:szCs w:val="24"/>
          <w:lang w:val="hy-AM"/>
        </w:rPr>
        <w:t xml:space="preserve">Անդրադառնալով այս իրավունքին՝ </w:t>
      </w:r>
      <w:r w:rsidR="00CA3353" w:rsidRPr="009E05DA">
        <w:rPr>
          <w:rFonts w:ascii="GHEA Grapalat" w:hAnsi="GHEA Grapalat"/>
          <w:sz w:val="24"/>
          <w:szCs w:val="24"/>
          <w:lang w:val="hy-AM"/>
        </w:rPr>
        <w:t>Մարդու իրավունքների եվրոպական դատարանը</w:t>
      </w:r>
      <w:r w:rsidR="00CC348E" w:rsidRPr="009E05DA">
        <w:rPr>
          <w:rStyle w:val="FootnoteReference"/>
          <w:rFonts w:ascii="GHEA Grapalat" w:hAnsi="GHEA Grapalat"/>
          <w:sz w:val="24"/>
          <w:szCs w:val="24"/>
          <w:lang w:val="hy-AM"/>
        </w:rPr>
        <w:footnoteReference w:id="3"/>
      </w:r>
      <w:r w:rsidR="00CA3353" w:rsidRPr="009E05DA">
        <w:rPr>
          <w:rFonts w:ascii="GHEA Grapalat" w:hAnsi="GHEA Grapalat"/>
          <w:sz w:val="24"/>
          <w:szCs w:val="24"/>
          <w:lang w:val="hy-AM"/>
        </w:rPr>
        <w:t xml:space="preserve"> </w:t>
      </w:r>
      <w:r w:rsidR="00CC348E" w:rsidRPr="009E05DA">
        <w:rPr>
          <w:rFonts w:ascii="GHEA Grapalat" w:hAnsi="GHEA Grapalat"/>
          <w:sz w:val="24"/>
          <w:szCs w:val="24"/>
          <w:lang w:val="hy-AM"/>
        </w:rPr>
        <w:t>նշել է, որ</w:t>
      </w:r>
      <w:r w:rsidR="007772D9" w:rsidRPr="009E05DA">
        <w:rPr>
          <w:rFonts w:ascii="GHEA Grapalat" w:hAnsi="GHEA Grapalat"/>
          <w:sz w:val="24"/>
          <w:szCs w:val="24"/>
          <w:lang w:val="hy-AM"/>
        </w:rPr>
        <w:t xml:space="preserve"> </w:t>
      </w:r>
      <w:r w:rsidR="00CC348E" w:rsidRPr="009E05DA">
        <w:rPr>
          <w:rFonts w:ascii="GHEA Grapalat" w:hAnsi="GHEA Grapalat"/>
          <w:sz w:val="24"/>
          <w:szCs w:val="24"/>
          <w:lang w:val="hy-AM"/>
        </w:rPr>
        <w:t xml:space="preserve">Կոնվենցիայի </w:t>
      </w:r>
      <w:r w:rsidR="00CA3353" w:rsidRPr="009E05DA">
        <w:rPr>
          <w:rFonts w:ascii="GHEA Grapalat" w:hAnsi="GHEA Grapalat"/>
          <w:sz w:val="24"/>
          <w:szCs w:val="24"/>
          <w:lang w:val="hy-AM"/>
        </w:rPr>
        <w:t>6-րդ հոդվածի 1-ին կետով երաշխավորված՝ արդար դատաքննության իրավունքը պետք է մեկնաբանվի օրենքի գերակայության լույսի ներքո, որով պահանջվում է, որ դատավարության մասնակիցներն ունենան դատական պաշտպանության արդյունավետ միջոցներ, որոնք նրանց թույլ կտան պաշտպանել իրենց քաղաքացիական իրավունքները</w:t>
      </w:r>
      <w:r w:rsidR="009719DB" w:rsidRPr="009E05DA">
        <w:rPr>
          <w:rStyle w:val="FootnoteReference"/>
          <w:rFonts w:ascii="GHEA Grapalat" w:hAnsi="GHEA Grapalat"/>
          <w:sz w:val="24"/>
          <w:szCs w:val="24"/>
          <w:lang w:val="hy-AM"/>
        </w:rPr>
        <w:footnoteReference w:id="4"/>
      </w:r>
      <w:r w:rsidR="00CA3353" w:rsidRPr="009E05DA">
        <w:rPr>
          <w:rFonts w:ascii="GHEA Grapalat" w:hAnsi="GHEA Grapalat"/>
          <w:sz w:val="24"/>
          <w:szCs w:val="24"/>
          <w:lang w:val="hy-AM"/>
        </w:rPr>
        <w:t>։</w:t>
      </w:r>
    </w:p>
    <w:p w:rsidR="008B1834" w:rsidRPr="009E05DA" w:rsidRDefault="00CC348E" w:rsidP="00B233B4">
      <w:pPr>
        <w:tabs>
          <w:tab w:val="left" w:pos="0"/>
        </w:tabs>
        <w:spacing w:after="0" w:line="360" w:lineRule="auto"/>
        <w:ind w:firstLine="720"/>
        <w:jc w:val="both"/>
        <w:rPr>
          <w:rFonts w:ascii="GHEA Grapalat" w:hAnsi="GHEA Grapalat"/>
          <w:sz w:val="24"/>
          <w:szCs w:val="24"/>
          <w:lang w:val="hy-AM"/>
        </w:rPr>
      </w:pPr>
      <w:r w:rsidRPr="009E05DA">
        <w:rPr>
          <w:rFonts w:ascii="GHEA Grapalat" w:hAnsi="GHEA Grapalat"/>
          <w:sz w:val="24"/>
          <w:szCs w:val="24"/>
          <w:lang w:val="hy-AM"/>
        </w:rPr>
        <w:t>Եվրոպական դատարանի իրավաբանության համաձայն՝ յ</w:t>
      </w:r>
      <w:r w:rsidR="00CA3353" w:rsidRPr="009E05DA">
        <w:rPr>
          <w:rFonts w:ascii="GHEA Grapalat" w:hAnsi="GHEA Grapalat"/>
          <w:sz w:val="24"/>
          <w:szCs w:val="24"/>
          <w:lang w:val="hy-AM"/>
        </w:rPr>
        <w:t>ուրաքանչյուր ոք ունի իր «քաղաքացիական իրավունքների ու պարտականությունների» հետ կապված ցանկացած պահանջ դատարանում կամ տրիբունալում ներկայացնելու իրավունք: Այդպիսով, 6-րդ հոդվածի 1-ին կետը ներառում է «դատարանի իրավունքը», որում մատչելիության իրավունքը, այսինքն՝ դատարանում քաղաքացիական գործով վարույթ հարուցելու իրավունքը, դրա մի մասն է</w:t>
      </w:r>
      <w:r w:rsidRPr="009E05DA">
        <w:rPr>
          <w:rStyle w:val="FootnoteReference"/>
          <w:rFonts w:ascii="GHEA Grapalat" w:hAnsi="GHEA Grapalat"/>
          <w:sz w:val="24"/>
          <w:szCs w:val="24"/>
          <w:lang w:val="hy-AM"/>
        </w:rPr>
        <w:footnoteReference w:id="5"/>
      </w:r>
      <w:r w:rsidR="00B40DBE" w:rsidRPr="009E05DA">
        <w:rPr>
          <w:rFonts w:ascii="GHEA Grapalat" w:hAnsi="GHEA Grapalat"/>
          <w:sz w:val="24"/>
          <w:szCs w:val="24"/>
          <w:lang w:val="hy-AM"/>
        </w:rPr>
        <w:t>: Միևնույն ժամանակ</w:t>
      </w:r>
      <w:r w:rsidR="000E68F6" w:rsidRPr="009E05DA">
        <w:rPr>
          <w:rFonts w:ascii="GHEA Grapalat" w:hAnsi="GHEA Grapalat"/>
          <w:sz w:val="24"/>
          <w:szCs w:val="24"/>
          <w:lang w:val="hy-AM"/>
        </w:rPr>
        <w:t>,</w:t>
      </w:r>
      <w:r w:rsidR="00B40DBE" w:rsidRPr="009E05DA">
        <w:rPr>
          <w:rFonts w:ascii="GHEA Grapalat" w:hAnsi="GHEA Grapalat"/>
          <w:sz w:val="24"/>
          <w:szCs w:val="24"/>
          <w:lang w:val="hy-AM"/>
        </w:rPr>
        <w:t xml:space="preserve"> </w:t>
      </w:r>
      <w:r w:rsidR="000E68F6" w:rsidRPr="009E05DA">
        <w:rPr>
          <w:rFonts w:ascii="GHEA Grapalat" w:hAnsi="GHEA Grapalat"/>
          <w:sz w:val="24"/>
          <w:szCs w:val="24"/>
          <w:lang w:val="hy-AM"/>
        </w:rPr>
        <w:t>Ե</w:t>
      </w:r>
      <w:r w:rsidR="00B40DBE" w:rsidRPr="009E05DA">
        <w:rPr>
          <w:rFonts w:ascii="GHEA Grapalat" w:hAnsi="GHEA Grapalat"/>
          <w:sz w:val="24"/>
          <w:szCs w:val="24"/>
          <w:lang w:val="hy-AM"/>
        </w:rPr>
        <w:t xml:space="preserve">վրոպական դատարանը հավելել է, որ դատարանների մատչելիության իրավունքը բացարձակ չէ </w:t>
      </w:r>
      <w:r w:rsidR="00B233B4" w:rsidRPr="009E05DA">
        <w:rPr>
          <w:rFonts w:ascii="GHEA Grapalat" w:hAnsi="GHEA Grapalat"/>
          <w:sz w:val="24"/>
          <w:szCs w:val="24"/>
          <w:lang w:val="hy-AM"/>
        </w:rPr>
        <w:t>և</w:t>
      </w:r>
      <w:r w:rsidR="00B40DBE" w:rsidRPr="009E05DA">
        <w:rPr>
          <w:rFonts w:ascii="GHEA Grapalat" w:hAnsi="GHEA Grapalat"/>
          <w:sz w:val="24"/>
          <w:szCs w:val="24"/>
          <w:lang w:val="hy-AM"/>
        </w:rPr>
        <w:t xml:space="preserve"> կարող է ենթարկվել անուղղակի սահմանափակումների</w:t>
      </w:r>
      <w:r w:rsidR="000E68F6" w:rsidRPr="009E05DA">
        <w:rPr>
          <w:rStyle w:val="FootnoteReference"/>
          <w:rFonts w:ascii="GHEA Grapalat" w:hAnsi="GHEA Grapalat"/>
          <w:sz w:val="24"/>
          <w:szCs w:val="24"/>
          <w:lang w:val="hy-AM"/>
        </w:rPr>
        <w:footnoteReference w:id="6"/>
      </w:r>
      <w:r w:rsidR="00B40DBE" w:rsidRPr="009E05DA">
        <w:rPr>
          <w:rFonts w:ascii="GHEA Grapalat" w:hAnsi="GHEA Grapalat"/>
          <w:sz w:val="24"/>
          <w:szCs w:val="24"/>
          <w:lang w:val="hy-AM"/>
        </w:rPr>
        <w:t>։</w:t>
      </w:r>
      <w:r w:rsidR="00D02385" w:rsidRPr="009E05DA">
        <w:rPr>
          <w:rFonts w:ascii="GHEA Grapalat" w:hAnsi="GHEA Grapalat"/>
          <w:sz w:val="24"/>
          <w:szCs w:val="24"/>
          <w:lang w:val="hy-AM"/>
        </w:rPr>
        <w:t xml:space="preserve"> </w:t>
      </w:r>
      <w:r w:rsidR="00B40DBE" w:rsidRPr="009E05DA">
        <w:rPr>
          <w:rFonts w:ascii="GHEA Grapalat" w:hAnsi="GHEA Grapalat"/>
          <w:sz w:val="24"/>
          <w:szCs w:val="24"/>
          <w:lang w:val="hy-AM"/>
        </w:rPr>
        <w:t>Այնուամենայնիվ, կիրառվող սահմանափակումները չպետք է սահմանափակեն կամ նվազեցնեն անհատին տրամադրված մատչելիության իրավունքն այնպես կամ այն չափով, որ խախտվի այդ իրավունքի բուն էությունը: Ավելին, որ</w:t>
      </w:r>
      <w:r w:rsidR="00D02385" w:rsidRPr="009E05DA">
        <w:rPr>
          <w:rFonts w:ascii="GHEA Grapalat" w:hAnsi="GHEA Grapalat"/>
          <w:sz w:val="24"/>
          <w:szCs w:val="24"/>
          <w:lang w:val="hy-AM"/>
        </w:rPr>
        <w:t>և</w:t>
      </w:r>
      <w:r w:rsidR="00B40DBE" w:rsidRPr="009E05DA">
        <w:rPr>
          <w:rFonts w:ascii="GHEA Grapalat" w:hAnsi="GHEA Grapalat"/>
          <w:sz w:val="24"/>
          <w:szCs w:val="24"/>
          <w:lang w:val="hy-AM"/>
        </w:rPr>
        <w:t xml:space="preserve">է սահմանափակում համատեղելի չի լինի </w:t>
      </w:r>
      <w:r w:rsidR="00CD511E" w:rsidRPr="009E05DA">
        <w:rPr>
          <w:rFonts w:ascii="GHEA Grapalat" w:hAnsi="GHEA Grapalat"/>
          <w:sz w:val="24"/>
          <w:szCs w:val="24"/>
          <w:lang w:val="hy-AM"/>
        </w:rPr>
        <w:t xml:space="preserve">Կոնվենցիայի </w:t>
      </w:r>
      <w:r w:rsidR="00B40DBE" w:rsidRPr="009E05DA">
        <w:rPr>
          <w:rFonts w:ascii="GHEA Grapalat" w:hAnsi="GHEA Grapalat"/>
          <w:sz w:val="24"/>
          <w:szCs w:val="24"/>
          <w:lang w:val="hy-AM"/>
        </w:rPr>
        <w:t xml:space="preserve">6-րդ հոդվածի 1-ին կետի հետ, եթե այն չի հետապնդում «իրավաչափ նպատակ» </w:t>
      </w:r>
      <w:r w:rsidR="00442A41" w:rsidRPr="009E05DA">
        <w:rPr>
          <w:rFonts w:ascii="GHEA Grapalat" w:hAnsi="GHEA Grapalat"/>
          <w:sz w:val="24"/>
          <w:szCs w:val="24"/>
          <w:lang w:val="hy-AM"/>
        </w:rPr>
        <w:t>և</w:t>
      </w:r>
      <w:r w:rsidR="00B40DBE" w:rsidRPr="009E05DA">
        <w:rPr>
          <w:rFonts w:ascii="GHEA Grapalat" w:hAnsi="GHEA Grapalat"/>
          <w:sz w:val="24"/>
          <w:szCs w:val="24"/>
          <w:lang w:val="hy-AM"/>
        </w:rPr>
        <w:t xml:space="preserve"> եթե «գործադրվող միջոցների ու հետապնդվող նպատակի միջ</w:t>
      </w:r>
      <w:r w:rsidR="009157E9" w:rsidRPr="009E05DA">
        <w:rPr>
          <w:rFonts w:ascii="GHEA Grapalat" w:hAnsi="GHEA Grapalat"/>
          <w:sz w:val="24"/>
          <w:szCs w:val="24"/>
          <w:lang w:val="hy-AM"/>
        </w:rPr>
        <w:t>և</w:t>
      </w:r>
      <w:r w:rsidR="00B40DBE" w:rsidRPr="009E05DA">
        <w:rPr>
          <w:rFonts w:ascii="GHEA Grapalat" w:hAnsi="GHEA Grapalat"/>
          <w:sz w:val="24"/>
          <w:szCs w:val="24"/>
          <w:lang w:val="hy-AM"/>
        </w:rPr>
        <w:t xml:space="preserve"> չկա համաչափության ողջամիտ հարաբեր</w:t>
      </w:r>
      <w:r w:rsidR="00CD511E" w:rsidRPr="009E05DA">
        <w:rPr>
          <w:rFonts w:ascii="GHEA Grapalat" w:hAnsi="GHEA Grapalat"/>
          <w:sz w:val="24"/>
          <w:szCs w:val="24"/>
          <w:lang w:val="hy-AM"/>
        </w:rPr>
        <w:t>ակց</w:t>
      </w:r>
      <w:r w:rsidR="00B40DBE" w:rsidRPr="009E05DA">
        <w:rPr>
          <w:rFonts w:ascii="GHEA Grapalat" w:hAnsi="GHEA Grapalat"/>
          <w:sz w:val="24"/>
          <w:szCs w:val="24"/>
          <w:lang w:val="hy-AM"/>
        </w:rPr>
        <w:t>ություն</w:t>
      </w:r>
      <w:r w:rsidR="000E68F6" w:rsidRPr="009E05DA">
        <w:rPr>
          <w:rStyle w:val="FootnoteReference"/>
          <w:rFonts w:ascii="GHEA Grapalat" w:hAnsi="GHEA Grapalat"/>
          <w:sz w:val="24"/>
          <w:szCs w:val="24"/>
          <w:lang w:val="hy-AM"/>
        </w:rPr>
        <w:footnoteReference w:id="7"/>
      </w:r>
      <w:r w:rsidR="00B40DBE" w:rsidRPr="009E05DA">
        <w:rPr>
          <w:rFonts w:ascii="GHEA Grapalat" w:hAnsi="GHEA Grapalat"/>
          <w:sz w:val="24"/>
          <w:szCs w:val="24"/>
          <w:lang w:val="hy-AM"/>
        </w:rPr>
        <w:t>»</w:t>
      </w:r>
      <w:r w:rsidR="00CA281D" w:rsidRPr="009E05DA">
        <w:rPr>
          <w:rFonts w:ascii="GHEA Grapalat" w:hAnsi="GHEA Grapalat"/>
          <w:sz w:val="24"/>
          <w:szCs w:val="24"/>
          <w:lang w:val="hy-AM"/>
        </w:rPr>
        <w:t>։</w:t>
      </w:r>
    </w:p>
    <w:p w:rsidR="00AA7049" w:rsidRPr="009E05DA" w:rsidRDefault="00AA7049" w:rsidP="00B233B4">
      <w:pPr>
        <w:tabs>
          <w:tab w:val="left" w:pos="0"/>
        </w:tabs>
        <w:spacing w:after="0" w:line="360" w:lineRule="auto"/>
        <w:ind w:firstLine="720"/>
        <w:jc w:val="both"/>
        <w:rPr>
          <w:rFonts w:ascii="GHEA Grapalat" w:hAnsi="GHEA Grapalat"/>
          <w:sz w:val="24"/>
          <w:szCs w:val="24"/>
          <w:lang w:val="hy-AM"/>
        </w:rPr>
      </w:pPr>
      <w:r w:rsidRPr="009E05DA">
        <w:rPr>
          <w:rFonts w:ascii="GHEA Grapalat" w:hAnsi="GHEA Grapalat"/>
          <w:sz w:val="24"/>
          <w:szCs w:val="24"/>
          <w:lang w:val="hy-AM"/>
        </w:rPr>
        <w:lastRenderedPageBreak/>
        <w:t>Վերոգրյալից կարող ենք եզրակացնել, որ վերը նշված սահմանափակումները կարող են սահմանվել միայն խիստ անհրաժեշտության և «իրավաչափ նպատակ» հետապնդելու պայմաններում։ Այսինքն</w:t>
      </w:r>
      <w:r w:rsidR="00CD511E" w:rsidRPr="009E05DA">
        <w:rPr>
          <w:rFonts w:ascii="GHEA Grapalat" w:hAnsi="GHEA Grapalat"/>
          <w:sz w:val="24"/>
          <w:szCs w:val="24"/>
          <w:lang w:val="hy-AM"/>
        </w:rPr>
        <w:t>,</w:t>
      </w:r>
      <w:r w:rsidRPr="009E05DA">
        <w:rPr>
          <w:rFonts w:ascii="GHEA Grapalat" w:hAnsi="GHEA Grapalat"/>
          <w:sz w:val="24"/>
          <w:szCs w:val="24"/>
          <w:lang w:val="hy-AM"/>
        </w:rPr>
        <w:t xml:space="preserve"> ամեն դեպքում պետությունը պետք է փորձի կատարել ամեն ինչ, որ իր նպատակին հասնի առանց անձի արդար դատաքննության իրավունքը սահմանափակելու։ </w:t>
      </w:r>
    </w:p>
    <w:p w:rsidR="000D2A50" w:rsidRPr="009E05DA" w:rsidRDefault="00EB25F3" w:rsidP="00B233B4">
      <w:pPr>
        <w:tabs>
          <w:tab w:val="left" w:pos="0"/>
        </w:tabs>
        <w:spacing w:after="0" w:line="360" w:lineRule="auto"/>
        <w:ind w:firstLine="720"/>
        <w:jc w:val="both"/>
        <w:rPr>
          <w:rFonts w:ascii="GHEA Grapalat" w:hAnsi="GHEA Grapalat" w:cs="Arial"/>
          <w:sz w:val="24"/>
          <w:szCs w:val="24"/>
          <w:lang w:val="hy-AM"/>
        </w:rPr>
      </w:pPr>
      <w:r w:rsidRPr="009E05DA">
        <w:rPr>
          <w:rFonts w:ascii="GHEA Grapalat" w:hAnsi="GHEA Grapalat" w:cs="Arial"/>
          <w:sz w:val="24"/>
          <w:szCs w:val="24"/>
          <w:lang w:val="hy-AM"/>
        </w:rPr>
        <w:t>Դատարան դիմելու և արդար դատաքննության իրավունքի վերաբերյալ իրավական կարգավորումների ուսումնասիրությունը և վերլուծությունը հնարավորություն է տալիս փաստել, որ անձն իր իրավունքի ենթադրյալ խախտման դեպքում կարող է դիմել դատարան՝ ներկայացնելով վերջինիս վերականգնման կամ այլ պահանջներ, և նշված իրավունքը չի կարող անհիմն սահմանափակվել:</w:t>
      </w:r>
    </w:p>
    <w:p w:rsidR="00E633A9" w:rsidRPr="009E05DA" w:rsidRDefault="00442A41" w:rsidP="00B233B4">
      <w:pPr>
        <w:tabs>
          <w:tab w:val="left" w:pos="0"/>
        </w:tabs>
        <w:spacing w:after="0" w:line="360" w:lineRule="auto"/>
        <w:ind w:firstLine="720"/>
        <w:jc w:val="both"/>
        <w:rPr>
          <w:rFonts w:ascii="GHEA Grapalat" w:hAnsi="GHEA Grapalat" w:cs="Arial"/>
          <w:sz w:val="24"/>
          <w:szCs w:val="24"/>
          <w:lang w:val="hy-AM"/>
        </w:rPr>
      </w:pPr>
      <w:r w:rsidRPr="009E05DA">
        <w:rPr>
          <w:rFonts w:ascii="GHEA Grapalat" w:hAnsi="GHEA Grapalat" w:cs="Arial"/>
          <w:sz w:val="24"/>
          <w:szCs w:val="24"/>
          <w:lang w:val="hy-AM"/>
        </w:rPr>
        <w:t xml:space="preserve">Տվյալ պարագայում, տուժողի իրավունքների պաշտպանությունը կատարվում է քրեական դատավարության շրջանակներում, որի ընթացքում քննվում է հանցանքի կատարման մեջ մեղադրվող անձի մեղավորությունը և նրա պատճառած վնասի </w:t>
      </w:r>
      <w:r w:rsidR="009157E9" w:rsidRPr="009E05DA">
        <w:rPr>
          <w:rFonts w:ascii="GHEA Grapalat" w:hAnsi="GHEA Grapalat" w:cs="Arial"/>
          <w:sz w:val="24"/>
          <w:szCs w:val="24"/>
          <w:lang w:val="hy-AM"/>
        </w:rPr>
        <w:t>հատո</w:t>
      </w:r>
      <w:r w:rsidRPr="009E05DA">
        <w:rPr>
          <w:rFonts w:ascii="GHEA Grapalat" w:hAnsi="GHEA Grapalat" w:cs="Arial"/>
          <w:sz w:val="24"/>
          <w:szCs w:val="24"/>
          <w:lang w:val="hy-AM"/>
        </w:rPr>
        <w:t>ւ</w:t>
      </w:r>
      <w:r w:rsidR="00CD511E" w:rsidRPr="009E05DA">
        <w:rPr>
          <w:rFonts w:ascii="GHEA Grapalat" w:hAnsi="GHEA Grapalat" w:cs="Arial"/>
          <w:sz w:val="24"/>
          <w:szCs w:val="24"/>
          <w:lang w:val="hy-AM"/>
        </w:rPr>
        <w:t>ց</w:t>
      </w:r>
      <w:r w:rsidRPr="009E05DA">
        <w:rPr>
          <w:rFonts w:ascii="GHEA Grapalat" w:hAnsi="GHEA Grapalat" w:cs="Arial"/>
          <w:sz w:val="24"/>
          <w:szCs w:val="24"/>
          <w:lang w:val="hy-AM"/>
        </w:rPr>
        <w:t>ման հարցերը: Մինչդեռ</w:t>
      </w:r>
      <w:r w:rsidR="00CD511E" w:rsidRPr="009E05DA">
        <w:rPr>
          <w:rFonts w:ascii="GHEA Grapalat" w:hAnsi="GHEA Grapalat" w:cs="Arial"/>
          <w:sz w:val="24"/>
          <w:szCs w:val="24"/>
          <w:lang w:val="hy-AM"/>
        </w:rPr>
        <w:t>,</w:t>
      </w:r>
      <w:r w:rsidRPr="009E05DA">
        <w:rPr>
          <w:rFonts w:ascii="GHEA Grapalat" w:hAnsi="GHEA Grapalat" w:cs="Arial"/>
          <w:sz w:val="24"/>
          <w:szCs w:val="24"/>
          <w:lang w:val="hy-AM"/>
        </w:rPr>
        <w:t xml:space="preserve"> ստացվում է, որ համաներման կիրառման դեպքում, չնայած նրա</w:t>
      </w:r>
      <w:r w:rsidR="00081A87" w:rsidRPr="009E05DA">
        <w:rPr>
          <w:rFonts w:ascii="GHEA Grapalat" w:hAnsi="GHEA Grapalat" w:cs="Arial"/>
          <w:sz w:val="24"/>
          <w:szCs w:val="24"/>
          <w:lang w:val="hy-AM"/>
        </w:rPr>
        <w:t>ն</w:t>
      </w:r>
      <w:r w:rsidRPr="009E05DA">
        <w:rPr>
          <w:rFonts w:ascii="GHEA Grapalat" w:hAnsi="GHEA Grapalat" w:cs="Arial"/>
          <w:sz w:val="24"/>
          <w:szCs w:val="24"/>
          <w:lang w:val="hy-AM"/>
        </w:rPr>
        <w:t>, որ տուժողն արդեն իսկ անցել է քրեական դատավարության տարբեր փուլերով, որի արդյունքում առկա է օրինական ուժի մեջ մտած դատավճիռ, ստիպված է լինում իր իրավունքների պաշտպանության համար կրկին անցնել դատական վարույթով:</w:t>
      </w:r>
    </w:p>
    <w:p w:rsidR="006A58EA" w:rsidRPr="009E05DA" w:rsidRDefault="00F30E9F" w:rsidP="006A58EA">
      <w:pPr>
        <w:tabs>
          <w:tab w:val="left" w:pos="0"/>
        </w:tabs>
        <w:spacing w:after="0" w:line="360" w:lineRule="auto"/>
        <w:ind w:firstLine="720"/>
        <w:jc w:val="both"/>
        <w:rPr>
          <w:rFonts w:ascii="GHEA Grapalat" w:hAnsi="GHEA Grapalat"/>
          <w:sz w:val="24"/>
          <w:szCs w:val="24"/>
          <w:lang w:val="hy-AM"/>
        </w:rPr>
      </w:pPr>
      <w:r w:rsidRPr="009E05DA">
        <w:rPr>
          <w:rFonts w:ascii="GHEA Grapalat" w:hAnsi="GHEA Grapalat"/>
          <w:sz w:val="24"/>
          <w:szCs w:val="24"/>
          <w:lang w:val="hy-AM"/>
        </w:rPr>
        <w:t>Ավելին</w:t>
      </w:r>
      <w:r w:rsidR="006A58EA" w:rsidRPr="009E05DA">
        <w:rPr>
          <w:rFonts w:ascii="GHEA Grapalat" w:hAnsi="GHEA Grapalat"/>
          <w:sz w:val="24"/>
          <w:szCs w:val="24"/>
          <w:lang w:val="hy-AM"/>
        </w:rPr>
        <w:t xml:space="preserve">, Սահմանադրական դատարանի 2009 թվականի փետրվարի 3-ի թիվ </w:t>
      </w:r>
      <w:r w:rsidR="006A58EA" w:rsidRPr="009E05DA">
        <w:rPr>
          <w:rFonts w:ascii="GHEA Grapalat" w:hAnsi="GHEA Grapalat"/>
          <w:sz w:val="24"/>
          <w:szCs w:val="24"/>
          <w:lang w:val="hy-AM"/>
        </w:rPr>
        <w:br/>
        <w:t xml:space="preserve">ՍԴՈ-787 որոշմամբ դատարանը նշել է, որ «իր գործի քննություն» հասկացությունը ներառում է բոլոր այն փոխկապակցված հայցապահանջների համակցված քննությունը, որոնք նպատակաուղղված են մեկ ընդհանուր խնդրի լուծմանը, այն է՝ այդ գործի շրջանակներում անձի խախտված իրավունքի վերականգնմանը: Սահմանադրական դատարանը նշել է նաև, որ ինչպես ՀՀ Սահմանադրությամբ, այնպես էլ </w:t>
      </w:r>
      <w:r w:rsidR="00CD511E" w:rsidRPr="009E05DA">
        <w:rPr>
          <w:rFonts w:ascii="GHEA Grapalat" w:hAnsi="GHEA Grapalat"/>
          <w:sz w:val="24"/>
          <w:szCs w:val="24"/>
          <w:lang w:val="hy-AM"/>
        </w:rPr>
        <w:t>Կ</w:t>
      </w:r>
      <w:r w:rsidR="006A58EA" w:rsidRPr="009E05DA">
        <w:rPr>
          <w:rFonts w:ascii="GHEA Grapalat" w:hAnsi="GHEA Grapalat"/>
          <w:sz w:val="24"/>
          <w:szCs w:val="24"/>
          <w:lang w:val="hy-AM"/>
        </w:rPr>
        <w:t>ոնվենցիայի 6</w:t>
      </w:r>
      <w:r w:rsidR="00CD511E" w:rsidRPr="009E05DA">
        <w:rPr>
          <w:rFonts w:ascii="GHEA Grapalat" w:hAnsi="GHEA Grapalat"/>
          <w:sz w:val="24"/>
          <w:szCs w:val="24"/>
          <w:lang w:val="hy-AM"/>
        </w:rPr>
        <w:t>-րդ</w:t>
      </w:r>
      <w:r w:rsidR="006A58EA" w:rsidRPr="009E05DA">
        <w:rPr>
          <w:rFonts w:ascii="GHEA Grapalat" w:hAnsi="GHEA Grapalat"/>
          <w:sz w:val="24"/>
          <w:szCs w:val="24"/>
          <w:lang w:val="hy-AM"/>
        </w:rPr>
        <w:t xml:space="preserve"> հոդվածով և ներպետական դատավարական օրենսդրությամբ սահմանված երաշխիքները պետք է ապահովվեն ոչ միայն այս կամ այն կոնկրետ հայցապահանջի քննության շրջանակում և համատեքստում, այլ նաև տվյալ խախտված իրավունքի վերականգնմանը միտված՝ տարաբնույթ փոխկապակցված հայցապահանջների քննության շրջանակում և </w:t>
      </w:r>
      <w:r w:rsidR="006A58EA" w:rsidRPr="009E05DA">
        <w:rPr>
          <w:rFonts w:ascii="GHEA Grapalat" w:hAnsi="GHEA Grapalat"/>
          <w:sz w:val="24"/>
          <w:szCs w:val="24"/>
          <w:lang w:val="hy-AM"/>
        </w:rPr>
        <w:lastRenderedPageBreak/>
        <w:t>համատեքստում, քանզի այդ հայցապահանջների վերջնական նպատակը մեկն է՝ միևնույն խախտված իրավունքի ամբողջական վերականգնումը: Հետևաբար, անձի միևնույն խախտված իրավունքի վերականգնմանն ուղղված փոխկապակցված հայցապահանջների դիտարկումը</w:t>
      </w:r>
      <w:r w:rsidR="00CD511E" w:rsidRPr="009E05DA">
        <w:rPr>
          <w:rFonts w:ascii="GHEA Grapalat" w:hAnsi="GHEA Grapalat"/>
          <w:sz w:val="24"/>
          <w:szCs w:val="24"/>
          <w:lang w:val="hy-AM"/>
        </w:rPr>
        <w:t>՝</w:t>
      </w:r>
      <w:r w:rsidR="006A58EA" w:rsidRPr="009E05DA">
        <w:rPr>
          <w:rFonts w:ascii="GHEA Grapalat" w:hAnsi="GHEA Grapalat"/>
          <w:sz w:val="24"/>
          <w:szCs w:val="24"/>
          <w:lang w:val="hy-AM"/>
        </w:rPr>
        <w:t xml:space="preserve"> որպես միմյանցից տարանջատված առանձին և ինքնուրույն գործերի հարուցման հիմքեր, կարող է հանգեցնել անձի գործի արդյունավետ, ամբողջական և բազմակողմանի քննության ապահովման դատավարական երաշխիքների խախտման (8-րդ կետ):</w:t>
      </w:r>
      <w:r w:rsidRPr="009E05DA">
        <w:rPr>
          <w:rFonts w:ascii="GHEA Grapalat" w:hAnsi="GHEA Grapalat"/>
          <w:sz w:val="24"/>
          <w:szCs w:val="24"/>
          <w:lang w:val="hy-AM"/>
        </w:rPr>
        <w:t xml:space="preserve"> </w:t>
      </w:r>
    </w:p>
    <w:p w:rsidR="00CD511E" w:rsidRPr="009E05DA" w:rsidRDefault="006A58EA" w:rsidP="00547F60">
      <w:pPr>
        <w:tabs>
          <w:tab w:val="left" w:pos="0"/>
        </w:tabs>
        <w:spacing w:after="0" w:line="360" w:lineRule="auto"/>
        <w:ind w:firstLine="720"/>
        <w:jc w:val="both"/>
        <w:rPr>
          <w:rFonts w:ascii="GHEA Grapalat" w:hAnsi="GHEA Grapalat" w:cs="Arial"/>
          <w:sz w:val="24"/>
          <w:szCs w:val="24"/>
          <w:lang w:val="hy-AM"/>
        </w:rPr>
      </w:pPr>
      <w:r w:rsidRPr="009E05DA">
        <w:rPr>
          <w:rFonts w:ascii="GHEA Grapalat" w:hAnsi="GHEA Grapalat" w:cs="Arial"/>
          <w:sz w:val="24"/>
          <w:szCs w:val="24"/>
          <w:lang w:val="hy-AM"/>
        </w:rPr>
        <w:t xml:space="preserve">Եվրոպական դատարանը </w:t>
      </w:r>
      <w:r w:rsidR="00CD511E" w:rsidRPr="009E05DA">
        <w:rPr>
          <w:rFonts w:ascii="GHEA Grapalat" w:hAnsi="GHEA Grapalat" w:cs="Arial"/>
          <w:sz w:val="24"/>
          <w:szCs w:val="24"/>
          <w:lang w:val="hy-AM"/>
        </w:rPr>
        <w:t>նշել է, որ այն դեպքում, երբ</w:t>
      </w:r>
      <w:r w:rsidR="009E222C" w:rsidRPr="009E05DA">
        <w:rPr>
          <w:rFonts w:ascii="GHEA Grapalat" w:hAnsi="GHEA Grapalat" w:cs="Arial"/>
          <w:sz w:val="24"/>
          <w:szCs w:val="24"/>
          <w:lang w:val="hy-AM"/>
        </w:rPr>
        <w:t xml:space="preserve"> </w:t>
      </w:r>
      <w:r w:rsidR="00CD511E" w:rsidRPr="009E05DA">
        <w:rPr>
          <w:rFonts w:ascii="GHEA Grapalat" w:hAnsi="GHEA Grapalat" w:cs="Arial"/>
          <w:sz w:val="24"/>
          <w:szCs w:val="24"/>
          <w:lang w:val="hy-AM"/>
        </w:rPr>
        <w:t>ներպետական</w:t>
      </w:r>
      <w:r w:rsidR="009E222C" w:rsidRPr="009E05DA">
        <w:rPr>
          <w:rFonts w:ascii="GHEA Grapalat" w:hAnsi="GHEA Grapalat" w:cs="Arial"/>
          <w:sz w:val="24"/>
          <w:szCs w:val="24"/>
          <w:lang w:val="hy-AM"/>
        </w:rPr>
        <w:t xml:space="preserve"> </w:t>
      </w:r>
      <w:r w:rsidR="00CD511E" w:rsidRPr="009E05DA">
        <w:rPr>
          <w:rFonts w:ascii="GHEA Grapalat" w:hAnsi="GHEA Grapalat" w:cs="Arial"/>
          <w:sz w:val="24"/>
          <w:szCs w:val="24"/>
          <w:lang w:val="hy-AM"/>
        </w:rPr>
        <w:t>իրավական</w:t>
      </w:r>
      <w:r w:rsidR="009E222C" w:rsidRPr="009E05DA">
        <w:rPr>
          <w:rFonts w:ascii="GHEA Grapalat" w:hAnsi="GHEA Grapalat" w:cs="Arial"/>
          <w:sz w:val="24"/>
          <w:szCs w:val="24"/>
          <w:lang w:val="hy-AM"/>
        </w:rPr>
        <w:t xml:space="preserve"> </w:t>
      </w:r>
      <w:r w:rsidR="00CD511E" w:rsidRPr="009E05DA">
        <w:rPr>
          <w:rFonts w:ascii="GHEA Grapalat" w:hAnsi="GHEA Grapalat" w:cs="Arial"/>
          <w:sz w:val="24"/>
          <w:szCs w:val="24"/>
          <w:lang w:val="hy-AM"/>
        </w:rPr>
        <w:t>համակարգը</w:t>
      </w:r>
      <w:r w:rsidR="009E222C" w:rsidRPr="009E05DA">
        <w:rPr>
          <w:rFonts w:ascii="GHEA Grapalat" w:hAnsi="GHEA Grapalat" w:cs="Arial"/>
          <w:sz w:val="24"/>
          <w:szCs w:val="24"/>
          <w:lang w:val="hy-AM"/>
        </w:rPr>
        <w:t xml:space="preserve"> </w:t>
      </w:r>
      <w:r w:rsidR="00CD511E" w:rsidRPr="009E05DA">
        <w:rPr>
          <w:rFonts w:ascii="GHEA Grapalat" w:hAnsi="GHEA Grapalat" w:cs="Arial"/>
          <w:sz w:val="24"/>
          <w:szCs w:val="24"/>
          <w:lang w:val="hy-AM"/>
        </w:rPr>
        <w:t>դիմողին</w:t>
      </w:r>
      <w:r w:rsidR="009E222C" w:rsidRPr="009E05DA">
        <w:rPr>
          <w:rFonts w:ascii="GHEA Grapalat" w:hAnsi="GHEA Grapalat" w:cs="Arial"/>
          <w:sz w:val="24"/>
          <w:szCs w:val="24"/>
          <w:lang w:val="hy-AM"/>
        </w:rPr>
        <w:t xml:space="preserve"> </w:t>
      </w:r>
      <w:r w:rsidR="00CD511E" w:rsidRPr="009E05DA">
        <w:rPr>
          <w:rFonts w:ascii="GHEA Grapalat" w:hAnsi="GHEA Grapalat" w:cs="Arial"/>
          <w:sz w:val="24"/>
          <w:szCs w:val="24"/>
          <w:lang w:val="hy-AM"/>
        </w:rPr>
        <w:t>հատկացնում է պաշտպանության միջոցներ, ինչպ</w:t>
      </w:r>
      <w:r w:rsidR="009E222C" w:rsidRPr="009E05DA">
        <w:rPr>
          <w:rFonts w:ascii="GHEA Grapalat" w:hAnsi="GHEA Grapalat" w:cs="Arial"/>
          <w:sz w:val="24"/>
          <w:szCs w:val="24"/>
          <w:lang w:val="hy-AM"/>
        </w:rPr>
        <w:t>իսին,</w:t>
      </w:r>
      <w:r w:rsidR="00CD511E" w:rsidRPr="009E05DA">
        <w:rPr>
          <w:rFonts w:ascii="GHEA Grapalat" w:hAnsi="GHEA Grapalat" w:cs="Arial"/>
          <w:sz w:val="24"/>
          <w:szCs w:val="24"/>
          <w:lang w:val="hy-AM"/>
        </w:rPr>
        <w:t xml:space="preserve"> օրինակ, քրեական վարույթի ընթացքում դիմողի կողմից </w:t>
      </w:r>
      <w:r w:rsidR="009E222C" w:rsidRPr="009E05DA">
        <w:rPr>
          <w:rFonts w:ascii="GHEA Grapalat" w:hAnsi="GHEA Grapalat" w:cs="Arial"/>
          <w:sz w:val="24"/>
          <w:szCs w:val="24"/>
          <w:lang w:val="hy-AM"/>
        </w:rPr>
        <w:t>քաղաքացիական հայց</w:t>
      </w:r>
      <w:r w:rsidR="00CD511E" w:rsidRPr="009E05DA">
        <w:rPr>
          <w:rFonts w:ascii="GHEA Grapalat" w:hAnsi="GHEA Grapalat" w:cs="Arial"/>
          <w:sz w:val="24"/>
          <w:szCs w:val="24"/>
          <w:lang w:val="hy-AM"/>
        </w:rPr>
        <w:t xml:space="preserve"> ներկայացնելն է, պետությունը պարտավոր է ապահովել Կոնվենցիայի 6-րդ հոդվածով նրան տրամադրված հիմնարար երաշխիքները: Դիմողն ունի օրինական ակնկալիք, որ դատարանները փոխհատուցման պահանջի վերաբերյալ որոշում կկայացնեն՝ լինի դա նպաստավոր, թե՝ ոչ: </w:t>
      </w:r>
      <w:r w:rsidR="009E222C" w:rsidRPr="009E05DA">
        <w:rPr>
          <w:rFonts w:ascii="GHEA Grapalat" w:hAnsi="GHEA Grapalat" w:cs="Arial"/>
          <w:sz w:val="24"/>
          <w:szCs w:val="24"/>
          <w:lang w:val="hy-AM"/>
        </w:rPr>
        <w:t>Եվրոպական դ</w:t>
      </w:r>
      <w:r w:rsidR="00CD511E" w:rsidRPr="009E05DA">
        <w:rPr>
          <w:rFonts w:ascii="GHEA Grapalat" w:hAnsi="GHEA Grapalat" w:cs="Arial"/>
          <w:sz w:val="24"/>
          <w:szCs w:val="24"/>
          <w:lang w:val="hy-AM"/>
        </w:rPr>
        <w:t>ատարանը նշել է, որ հետապնդման մարմինների կողմից գործի վարումը, որի արդյունքում լրացել է հանցագործության վաղեմության ժամկետները և հանգեցրել դիմողի փոխհատուցման պահանջի վերաբերյալ որոշման կայացման անհնարինությանը, դիմող</w:t>
      </w:r>
      <w:r w:rsidR="009E222C" w:rsidRPr="009E05DA">
        <w:rPr>
          <w:rFonts w:ascii="GHEA Grapalat" w:hAnsi="GHEA Grapalat" w:cs="Arial"/>
          <w:sz w:val="24"/>
          <w:szCs w:val="24"/>
          <w:lang w:val="hy-AM"/>
        </w:rPr>
        <w:t>ին զրկ</w:t>
      </w:r>
      <w:r w:rsidR="00CD511E" w:rsidRPr="009E05DA">
        <w:rPr>
          <w:rFonts w:ascii="GHEA Grapalat" w:hAnsi="GHEA Grapalat" w:cs="Arial"/>
          <w:sz w:val="24"/>
          <w:szCs w:val="24"/>
          <w:lang w:val="hy-AM"/>
        </w:rPr>
        <w:t>ում է դատարանի մատչելիության իրավունքից:</w:t>
      </w:r>
      <w:r w:rsidR="009E222C" w:rsidRPr="009E05DA">
        <w:rPr>
          <w:rFonts w:ascii="GHEA Grapalat" w:hAnsi="GHEA Grapalat" w:cs="Arial"/>
          <w:sz w:val="24"/>
          <w:szCs w:val="24"/>
          <w:lang w:val="hy-AM"/>
        </w:rPr>
        <w:t xml:space="preserve"> Եվրոպական դատարանն արձանագրել է</w:t>
      </w:r>
      <w:r w:rsidR="00CD511E" w:rsidRPr="009E05DA">
        <w:rPr>
          <w:rFonts w:ascii="GHEA Grapalat" w:hAnsi="GHEA Grapalat" w:cs="Arial"/>
          <w:sz w:val="24"/>
          <w:szCs w:val="24"/>
          <w:lang w:val="hy-AM"/>
        </w:rPr>
        <w:t>, որ դիմողից չեն կարող պահանջել սպաս</w:t>
      </w:r>
      <w:r w:rsidR="009E222C" w:rsidRPr="009E05DA">
        <w:rPr>
          <w:rFonts w:ascii="GHEA Grapalat" w:hAnsi="GHEA Grapalat" w:cs="Arial"/>
          <w:sz w:val="24"/>
          <w:szCs w:val="24"/>
          <w:lang w:val="hy-AM"/>
        </w:rPr>
        <w:t>ել, որ</w:t>
      </w:r>
      <w:r w:rsidR="00CD511E" w:rsidRPr="009E05DA">
        <w:rPr>
          <w:rFonts w:ascii="GHEA Grapalat" w:hAnsi="GHEA Grapalat" w:cs="Arial"/>
          <w:sz w:val="24"/>
          <w:szCs w:val="24"/>
          <w:lang w:val="hy-AM"/>
        </w:rPr>
        <w:t xml:space="preserve"> </w:t>
      </w:r>
      <w:r w:rsidR="009E222C" w:rsidRPr="009E05DA">
        <w:rPr>
          <w:rFonts w:ascii="GHEA Grapalat" w:hAnsi="GHEA Grapalat" w:cs="Arial"/>
          <w:sz w:val="24"/>
          <w:szCs w:val="24"/>
          <w:lang w:val="hy-AM"/>
        </w:rPr>
        <w:t xml:space="preserve">անցնի </w:t>
      </w:r>
      <w:r w:rsidR="00CD511E" w:rsidRPr="009E05DA">
        <w:rPr>
          <w:rFonts w:ascii="GHEA Grapalat" w:hAnsi="GHEA Grapalat" w:cs="Arial"/>
          <w:sz w:val="24"/>
          <w:szCs w:val="24"/>
          <w:lang w:val="hy-AM"/>
        </w:rPr>
        <w:t>դատական իշխանությունների մեղքով իր պահանջի վերաբերյալ վաղեմության ժամկետ</w:t>
      </w:r>
      <w:r w:rsidR="009E222C" w:rsidRPr="009E05DA">
        <w:rPr>
          <w:rFonts w:ascii="GHEA Grapalat" w:hAnsi="GHEA Grapalat" w:cs="Arial"/>
          <w:sz w:val="24"/>
          <w:szCs w:val="24"/>
          <w:lang w:val="hy-AM"/>
        </w:rPr>
        <w:t>ներ</w:t>
      </w:r>
      <w:r w:rsidR="00CD511E" w:rsidRPr="009E05DA">
        <w:rPr>
          <w:rFonts w:ascii="GHEA Grapalat" w:hAnsi="GHEA Grapalat" w:cs="Arial"/>
          <w:sz w:val="24"/>
          <w:szCs w:val="24"/>
          <w:lang w:val="hy-AM"/>
        </w:rPr>
        <w:t xml:space="preserve">ը և դրանից հետո </w:t>
      </w:r>
      <w:r w:rsidR="009E222C" w:rsidRPr="009E05DA">
        <w:rPr>
          <w:rFonts w:ascii="GHEA Grapalat" w:hAnsi="GHEA Grapalat" w:cs="Arial"/>
          <w:sz w:val="24"/>
          <w:szCs w:val="24"/>
          <w:lang w:val="hy-AM"/>
        </w:rPr>
        <w:t xml:space="preserve">փոխհատուցում ստանալու համար պահանջել </w:t>
      </w:r>
      <w:r w:rsidR="00CD511E" w:rsidRPr="009E05DA">
        <w:rPr>
          <w:rFonts w:ascii="GHEA Grapalat" w:hAnsi="GHEA Grapalat" w:cs="Arial"/>
          <w:sz w:val="24"/>
          <w:szCs w:val="24"/>
          <w:lang w:val="hy-AM"/>
        </w:rPr>
        <w:t xml:space="preserve">դիմել քաղաքացիական դատարան, </w:t>
      </w:r>
      <w:r w:rsidR="009E222C" w:rsidRPr="009E05DA">
        <w:rPr>
          <w:rFonts w:ascii="GHEA Grapalat" w:hAnsi="GHEA Grapalat" w:cs="Arial"/>
          <w:sz w:val="24"/>
          <w:szCs w:val="24"/>
          <w:lang w:val="hy-AM"/>
        </w:rPr>
        <w:t>որն</w:t>
      </w:r>
      <w:r w:rsidR="00CD511E" w:rsidRPr="009E05DA">
        <w:rPr>
          <w:rFonts w:ascii="GHEA Grapalat" w:hAnsi="GHEA Grapalat" w:cs="Arial"/>
          <w:sz w:val="24"/>
          <w:szCs w:val="24"/>
          <w:lang w:val="hy-AM"/>
        </w:rPr>
        <w:t xml:space="preserve"> արդեն իսկ ներկայացվել է քրեական դատարանում</w:t>
      </w:r>
      <w:r w:rsidR="009E222C" w:rsidRPr="009E05DA">
        <w:rPr>
          <w:rStyle w:val="FootnoteReference"/>
          <w:rFonts w:ascii="GHEA Grapalat" w:hAnsi="GHEA Grapalat" w:cs="Arial"/>
          <w:sz w:val="24"/>
          <w:szCs w:val="24"/>
          <w:lang w:val="hy-AM"/>
        </w:rPr>
        <w:footnoteReference w:id="8"/>
      </w:r>
      <w:r w:rsidR="00CD511E" w:rsidRPr="009E05DA">
        <w:rPr>
          <w:rFonts w:ascii="GHEA Grapalat" w:hAnsi="GHEA Grapalat" w:cs="Arial"/>
          <w:sz w:val="24"/>
          <w:szCs w:val="24"/>
          <w:lang w:val="hy-AM"/>
        </w:rPr>
        <w:t>:</w:t>
      </w:r>
    </w:p>
    <w:p w:rsidR="00750C39" w:rsidRPr="009E05DA" w:rsidRDefault="000D2A50" w:rsidP="00B233B4">
      <w:pPr>
        <w:tabs>
          <w:tab w:val="left" w:pos="0"/>
        </w:tabs>
        <w:spacing w:after="0" w:line="360" w:lineRule="auto"/>
        <w:ind w:firstLine="720"/>
        <w:jc w:val="both"/>
        <w:rPr>
          <w:rFonts w:ascii="GHEA Grapalat" w:hAnsi="GHEA Grapalat"/>
          <w:sz w:val="24"/>
          <w:szCs w:val="24"/>
          <w:lang w:val="hy-AM"/>
        </w:rPr>
      </w:pPr>
      <w:r w:rsidRPr="009E05DA">
        <w:rPr>
          <w:rFonts w:ascii="GHEA Grapalat" w:hAnsi="GHEA Grapalat"/>
          <w:sz w:val="24"/>
          <w:szCs w:val="24"/>
          <w:lang w:val="hy-AM"/>
        </w:rPr>
        <w:t>Ավելին, հաշվի առնելով խնդրո առարկա օրենսդրական կարգավորումների անորոշությունը</w:t>
      </w:r>
      <w:r w:rsidR="00D8664F" w:rsidRPr="009E05DA">
        <w:rPr>
          <w:rFonts w:ascii="GHEA Grapalat" w:hAnsi="GHEA Grapalat"/>
          <w:sz w:val="24"/>
          <w:szCs w:val="24"/>
          <w:lang w:val="hy-AM"/>
        </w:rPr>
        <w:t>՝ խնդիրն ավելի վիճահարույց է դառնում</w:t>
      </w:r>
      <w:r w:rsidRPr="009E05DA">
        <w:rPr>
          <w:rFonts w:ascii="GHEA Grapalat" w:hAnsi="GHEA Grapalat"/>
          <w:sz w:val="24"/>
          <w:szCs w:val="24"/>
          <w:lang w:val="hy-AM"/>
        </w:rPr>
        <w:t xml:space="preserve"> </w:t>
      </w:r>
      <w:r w:rsidR="00EB25F3" w:rsidRPr="009E05DA">
        <w:rPr>
          <w:rFonts w:ascii="GHEA Grapalat" w:hAnsi="GHEA Grapalat"/>
          <w:sz w:val="24"/>
          <w:szCs w:val="24"/>
          <w:lang w:val="hy-AM"/>
        </w:rPr>
        <w:t xml:space="preserve">ՀՀ Սահմանադրության 79-րդ հոդվածով սահմանված՝ որոշակիության սկզբունքի տեսանկյունից, որի համաձայն՝ հիմնական իրավունքները և ազատությունները սահմանափակելիս օրենքները պետք է </w:t>
      </w:r>
      <w:r w:rsidR="00EB25F3" w:rsidRPr="009E05DA">
        <w:rPr>
          <w:rFonts w:ascii="GHEA Grapalat" w:hAnsi="GHEA Grapalat"/>
          <w:sz w:val="24"/>
          <w:szCs w:val="24"/>
          <w:lang w:val="hy-AM"/>
        </w:rPr>
        <w:lastRenderedPageBreak/>
        <w:t>սահմանեն այդ սահմանափակումների հիմքերը և ծավալը, լինեն բավարար չափով որոշակի, որպեսզի այդ իրավունքների և ազատությունների կրողները և հասցեատերերն ի վիճակի լինեն դրսևորելու համապատասխան վարքագիծ:</w:t>
      </w:r>
      <w:r w:rsidR="00B233B4" w:rsidRPr="009E05DA">
        <w:rPr>
          <w:rFonts w:ascii="GHEA Grapalat" w:hAnsi="GHEA Grapalat"/>
          <w:sz w:val="24"/>
          <w:szCs w:val="24"/>
          <w:lang w:val="hy-AM"/>
        </w:rPr>
        <w:t xml:space="preserve"> </w:t>
      </w:r>
      <w:r w:rsidR="00750C39" w:rsidRPr="009E05DA">
        <w:rPr>
          <w:rFonts w:ascii="GHEA Grapalat" w:hAnsi="GHEA Grapalat"/>
          <w:sz w:val="24"/>
          <w:szCs w:val="24"/>
          <w:lang w:val="hy-AM"/>
        </w:rPr>
        <w:t xml:space="preserve">ՀՀ սահմանադրական դատարանը </w:t>
      </w:r>
      <w:r w:rsidR="007772D9" w:rsidRPr="009E05DA">
        <w:rPr>
          <w:rFonts w:ascii="GHEA Grapalat" w:hAnsi="GHEA Grapalat"/>
          <w:sz w:val="24"/>
          <w:szCs w:val="24"/>
          <w:lang w:val="hy-AM"/>
        </w:rPr>
        <w:t xml:space="preserve">2014 թվականի դեկտեմբերի 2-ի թիվ </w:t>
      </w:r>
      <w:r w:rsidR="00750C39" w:rsidRPr="009E05DA">
        <w:rPr>
          <w:rFonts w:ascii="GHEA Grapalat" w:hAnsi="GHEA Grapalat"/>
          <w:sz w:val="24"/>
          <w:szCs w:val="24"/>
          <w:lang w:val="hy-AM"/>
        </w:rPr>
        <w:t xml:space="preserve">ՍԴՈ-1176 </w:t>
      </w:r>
      <w:r w:rsidR="007772D9" w:rsidRPr="009E05DA">
        <w:rPr>
          <w:rFonts w:ascii="GHEA Grapalat" w:hAnsi="GHEA Grapalat"/>
          <w:sz w:val="24"/>
          <w:szCs w:val="24"/>
          <w:lang w:val="hy-AM"/>
        </w:rPr>
        <w:t xml:space="preserve">որոշմամբ արձանագրել </w:t>
      </w:r>
      <w:r w:rsidR="00750C39" w:rsidRPr="009E05DA">
        <w:rPr>
          <w:rFonts w:ascii="GHEA Grapalat" w:hAnsi="GHEA Grapalat"/>
          <w:sz w:val="24"/>
          <w:szCs w:val="24"/>
          <w:lang w:val="hy-AM"/>
        </w:rPr>
        <w:t>է, որ իրավական որոշակիության ապահովման տեսնակյունից օրենսդրության մեջ օգտագործվող հասկացությունները պետք է լինեն հստակ, որոշակի և չհանգեցնեն տարաբնույթ մեկնաբանությունների կամ շփոթության</w:t>
      </w:r>
      <w:r w:rsidR="00470E91" w:rsidRPr="009E05DA">
        <w:rPr>
          <w:rFonts w:ascii="GHEA Grapalat" w:hAnsi="GHEA Grapalat"/>
          <w:sz w:val="24"/>
          <w:szCs w:val="24"/>
          <w:lang w:val="hy-AM"/>
        </w:rPr>
        <w:t xml:space="preserve"> </w:t>
      </w:r>
      <w:r w:rsidR="00C2279F" w:rsidRPr="009E05DA">
        <w:rPr>
          <w:rFonts w:ascii="GHEA Grapalat" w:hAnsi="GHEA Grapalat"/>
          <w:sz w:val="24"/>
          <w:szCs w:val="24"/>
          <w:lang w:val="hy-AM"/>
        </w:rPr>
        <w:t>(</w:t>
      </w:r>
      <w:r w:rsidR="00470E91" w:rsidRPr="009E05DA">
        <w:rPr>
          <w:rFonts w:ascii="GHEA Grapalat" w:hAnsi="GHEA Grapalat"/>
          <w:sz w:val="24"/>
          <w:szCs w:val="24"/>
          <w:lang w:val="hy-AM"/>
        </w:rPr>
        <w:t>6-րդ կետ</w:t>
      </w:r>
      <w:r w:rsidR="00C2279F" w:rsidRPr="009E05DA">
        <w:rPr>
          <w:rFonts w:ascii="GHEA Grapalat" w:hAnsi="GHEA Grapalat"/>
          <w:sz w:val="24"/>
          <w:szCs w:val="24"/>
          <w:lang w:val="hy-AM"/>
        </w:rPr>
        <w:t>)</w:t>
      </w:r>
      <w:r w:rsidR="00750C39" w:rsidRPr="009E05DA">
        <w:rPr>
          <w:rFonts w:ascii="GHEA Grapalat" w:hAnsi="GHEA Grapalat"/>
          <w:sz w:val="24"/>
          <w:szCs w:val="24"/>
          <w:lang w:val="hy-AM"/>
        </w:rPr>
        <w:t>։</w:t>
      </w:r>
    </w:p>
    <w:p w:rsidR="00F04A90" w:rsidRPr="009E05DA" w:rsidRDefault="00F04A90" w:rsidP="00B233B4">
      <w:pPr>
        <w:tabs>
          <w:tab w:val="left" w:pos="0"/>
        </w:tabs>
        <w:spacing w:after="0" w:line="360" w:lineRule="auto"/>
        <w:ind w:firstLine="720"/>
        <w:jc w:val="both"/>
        <w:rPr>
          <w:rFonts w:ascii="GHEA Grapalat" w:hAnsi="GHEA Grapalat"/>
          <w:b/>
          <w:bCs/>
          <w:sz w:val="24"/>
          <w:szCs w:val="24"/>
          <w:lang w:val="hy-AM"/>
        </w:rPr>
      </w:pPr>
      <w:r w:rsidRPr="009E05DA">
        <w:rPr>
          <w:rFonts w:ascii="GHEA Grapalat" w:hAnsi="GHEA Grapalat"/>
          <w:sz w:val="24"/>
          <w:szCs w:val="24"/>
          <w:lang w:val="hy-AM"/>
        </w:rPr>
        <w:t xml:space="preserve">Ավելին, 2016 թվականի մայիսի 7-ի թիվ ՍԴՈ-1270 որոշմամբ </w:t>
      </w:r>
      <w:r w:rsidR="007772D9" w:rsidRPr="009E05DA">
        <w:rPr>
          <w:rFonts w:ascii="GHEA Grapalat" w:hAnsi="GHEA Grapalat"/>
          <w:sz w:val="24"/>
          <w:szCs w:val="24"/>
          <w:lang w:val="hy-AM"/>
        </w:rPr>
        <w:t xml:space="preserve">Սահմանադրական </w:t>
      </w:r>
      <w:r w:rsidRPr="009E05DA">
        <w:rPr>
          <w:rFonts w:ascii="GHEA Grapalat" w:hAnsi="GHEA Grapalat"/>
          <w:sz w:val="24"/>
          <w:szCs w:val="24"/>
          <w:lang w:val="hy-AM"/>
        </w:rPr>
        <w:t>դատարանը նշել է, որ</w:t>
      </w:r>
      <w:r w:rsidRPr="009E05DA">
        <w:rPr>
          <w:rFonts w:ascii="Calibri" w:hAnsi="Calibri" w:cs="Calibri"/>
          <w:sz w:val="24"/>
          <w:szCs w:val="24"/>
          <w:lang w:val="hy-AM"/>
        </w:rPr>
        <w:t> </w:t>
      </w:r>
      <w:r w:rsidRPr="009E05DA">
        <w:rPr>
          <w:rFonts w:ascii="GHEA Grapalat" w:hAnsi="GHEA Grapalat"/>
          <w:sz w:val="24"/>
          <w:szCs w:val="24"/>
          <w:lang w:val="hy-AM"/>
        </w:rPr>
        <w:t>ՀՀ</w:t>
      </w:r>
      <w:r w:rsidRPr="009E05DA">
        <w:rPr>
          <w:rFonts w:ascii="Calibri" w:hAnsi="Calibri" w:cs="Calibri"/>
          <w:sz w:val="24"/>
          <w:szCs w:val="24"/>
          <w:lang w:val="hy-AM"/>
        </w:rPr>
        <w:t> </w:t>
      </w:r>
      <w:r w:rsidRPr="009E05DA">
        <w:rPr>
          <w:rFonts w:ascii="GHEA Grapalat" w:hAnsi="GHEA Grapalat"/>
          <w:sz w:val="24"/>
          <w:szCs w:val="24"/>
          <w:lang w:val="hy-AM"/>
        </w:rPr>
        <w:t>Սահմանադրության</w:t>
      </w:r>
      <w:r w:rsidRPr="009E05DA">
        <w:rPr>
          <w:rFonts w:ascii="Calibri" w:hAnsi="Calibri" w:cs="Calibri"/>
          <w:sz w:val="24"/>
          <w:szCs w:val="24"/>
          <w:lang w:val="hy-AM"/>
        </w:rPr>
        <w:t> </w:t>
      </w:r>
      <w:r w:rsidR="006461CE" w:rsidRPr="009E05DA">
        <w:rPr>
          <w:rFonts w:ascii="GHEA Grapalat" w:hAnsi="GHEA Grapalat"/>
          <w:sz w:val="24"/>
          <w:szCs w:val="24"/>
          <w:lang w:val="hy-AM"/>
        </w:rPr>
        <w:t>1-</w:t>
      </w:r>
      <w:r w:rsidRPr="009E05DA">
        <w:rPr>
          <w:rFonts w:ascii="GHEA Grapalat" w:hAnsi="GHEA Grapalat"/>
          <w:sz w:val="24"/>
          <w:szCs w:val="24"/>
          <w:lang w:val="hy-AM"/>
        </w:rPr>
        <w:t>ին</w:t>
      </w:r>
      <w:r w:rsidR="006461CE" w:rsidRPr="009E05DA">
        <w:rPr>
          <w:rFonts w:ascii="GHEA Grapalat" w:hAnsi="GHEA Grapalat"/>
          <w:sz w:val="24"/>
          <w:szCs w:val="24"/>
          <w:lang w:val="hy-AM"/>
        </w:rPr>
        <w:t xml:space="preserve"> </w:t>
      </w:r>
      <w:r w:rsidR="0018020B" w:rsidRPr="009E05DA">
        <w:rPr>
          <w:rFonts w:ascii="GHEA Grapalat" w:hAnsi="GHEA Grapalat"/>
          <w:sz w:val="24"/>
          <w:szCs w:val="24"/>
          <w:lang w:val="hy-AM"/>
        </w:rPr>
        <w:t>հոդվածով ամրագրված իրավական պետության կարևորագույն հատկանիշներից է իրավունքի գերակայությունը, որի ապահովման գլխավոր պահանջներից են իրավական որոշակիության սկզբու</w:t>
      </w:r>
      <w:r w:rsidR="000F596B" w:rsidRPr="009E05DA">
        <w:rPr>
          <w:rFonts w:ascii="GHEA Grapalat" w:hAnsi="GHEA Grapalat"/>
          <w:sz w:val="24"/>
          <w:szCs w:val="24"/>
          <w:lang w:val="hy-AM"/>
        </w:rPr>
        <w:t>ն</w:t>
      </w:r>
      <w:r w:rsidR="0018020B" w:rsidRPr="009E05DA">
        <w:rPr>
          <w:rFonts w:ascii="GHEA Grapalat" w:hAnsi="GHEA Grapalat"/>
          <w:sz w:val="24"/>
          <w:szCs w:val="24"/>
          <w:lang w:val="hy-AM"/>
        </w:rPr>
        <w:t>քը, իրավահարաբերությունների կարգավորումը բացառապես այնպիսի օրենքներով, որոնք համապատասխանում են որակական որոշակի հատկանիշների՝ հստակ են, կանխատեսելի, մատչելի</w:t>
      </w:r>
      <w:r w:rsidR="006C496F" w:rsidRPr="009E05DA">
        <w:rPr>
          <w:rFonts w:ascii="GHEA Grapalat" w:hAnsi="GHEA Grapalat"/>
          <w:sz w:val="24"/>
          <w:szCs w:val="24"/>
          <w:lang w:val="hy-AM"/>
        </w:rPr>
        <w:t xml:space="preserve"> (7-րդ կետ)</w:t>
      </w:r>
      <w:r w:rsidR="0018020B" w:rsidRPr="009E05DA">
        <w:rPr>
          <w:rFonts w:ascii="GHEA Grapalat" w:hAnsi="GHEA Grapalat"/>
          <w:sz w:val="24"/>
          <w:szCs w:val="24"/>
          <w:lang w:val="hy-AM"/>
        </w:rPr>
        <w:t xml:space="preserve">։ </w:t>
      </w:r>
    </w:p>
    <w:p w:rsidR="00C3799F" w:rsidRPr="009E05DA" w:rsidRDefault="00D8664F" w:rsidP="00C3799F">
      <w:pPr>
        <w:tabs>
          <w:tab w:val="left" w:pos="0"/>
        </w:tabs>
        <w:spacing w:after="0" w:line="360" w:lineRule="auto"/>
        <w:ind w:firstLine="720"/>
        <w:jc w:val="both"/>
        <w:rPr>
          <w:rFonts w:ascii="GHEA Grapalat" w:hAnsi="GHEA Grapalat" w:cs="Calibri"/>
          <w:sz w:val="24"/>
          <w:szCs w:val="24"/>
          <w:lang w:val="hy-AM"/>
        </w:rPr>
      </w:pPr>
      <w:r w:rsidRPr="009E05DA">
        <w:rPr>
          <w:rFonts w:ascii="GHEA Grapalat" w:hAnsi="GHEA Grapalat"/>
          <w:sz w:val="24"/>
          <w:szCs w:val="24"/>
          <w:lang w:val="hy-AM"/>
        </w:rPr>
        <w:t>Ե</w:t>
      </w:r>
      <w:r w:rsidR="00F04A90" w:rsidRPr="009E05DA">
        <w:rPr>
          <w:rFonts w:ascii="GHEA Grapalat" w:hAnsi="GHEA Grapalat"/>
          <w:sz w:val="24"/>
          <w:szCs w:val="24"/>
          <w:lang w:val="hy-AM"/>
        </w:rPr>
        <w:t>վրոպական դատարանը</w:t>
      </w:r>
      <w:r w:rsidR="0018384C" w:rsidRPr="009E05DA">
        <w:rPr>
          <w:rFonts w:ascii="GHEA Grapalat" w:hAnsi="GHEA Grapalat"/>
          <w:sz w:val="24"/>
          <w:szCs w:val="24"/>
          <w:lang w:val="hy-AM"/>
        </w:rPr>
        <w:t>, անդրադառնալով իրավական որոշակիության սկզբունքին,</w:t>
      </w:r>
      <w:r w:rsidR="00F04A90" w:rsidRPr="009E05DA">
        <w:rPr>
          <w:rFonts w:ascii="Calibri" w:hAnsi="Calibri" w:cs="Calibri"/>
          <w:sz w:val="24"/>
          <w:szCs w:val="24"/>
          <w:lang w:val="hy-AM"/>
        </w:rPr>
        <w:t> </w:t>
      </w:r>
      <w:r w:rsidR="00F04A90" w:rsidRPr="009E05DA">
        <w:rPr>
          <w:rFonts w:ascii="GHEA Grapalat" w:hAnsi="GHEA Grapalat"/>
          <w:sz w:val="24"/>
          <w:szCs w:val="24"/>
          <w:lang w:val="hy-AM"/>
        </w:rPr>
        <w:t xml:space="preserve"> արձանագրել է, որ օրենքը պետք է լինի բավականաչափ հստակ, ինչը հնարավորություն կտա անձին համապատասխանեցնելու իր վարքագիծը և կանխատեսելու դրա հետևանքները</w:t>
      </w:r>
      <w:r w:rsidR="005B1F44" w:rsidRPr="009E05DA">
        <w:rPr>
          <w:rStyle w:val="FootnoteReference"/>
          <w:rFonts w:ascii="GHEA Grapalat" w:hAnsi="GHEA Grapalat"/>
          <w:sz w:val="24"/>
          <w:szCs w:val="24"/>
          <w:lang w:val="hy-AM"/>
        </w:rPr>
        <w:footnoteReference w:id="9"/>
      </w:r>
      <w:r w:rsidR="00F04A90" w:rsidRPr="009E05DA">
        <w:rPr>
          <w:rFonts w:ascii="GHEA Grapalat" w:hAnsi="GHEA Grapalat"/>
          <w:sz w:val="24"/>
          <w:szCs w:val="24"/>
          <w:lang w:val="hy-AM"/>
        </w:rPr>
        <w:t>:</w:t>
      </w:r>
      <w:r w:rsidR="000D2A50" w:rsidRPr="009E05DA">
        <w:rPr>
          <w:rFonts w:ascii="GHEA Grapalat" w:hAnsi="GHEA Grapalat"/>
          <w:sz w:val="24"/>
          <w:szCs w:val="24"/>
          <w:lang w:val="hy-AM"/>
        </w:rPr>
        <w:t xml:space="preserve"> </w:t>
      </w:r>
      <w:r w:rsidR="00F04A90" w:rsidRPr="009E05DA">
        <w:rPr>
          <w:rFonts w:ascii="GHEA Grapalat" w:hAnsi="GHEA Grapalat"/>
          <w:sz w:val="24"/>
          <w:szCs w:val="24"/>
          <w:lang w:val="hy-AM"/>
        </w:rPr>
        <w:t>Ավելին, Եվրոպական դատարանն, անդրադառնալով օրինականության պահանջին, նշել է, որ վերջինս վերաբերում է ոչ միայն ներպետական օրենսդրությունում համապատասխան իրավական հենքի առկայությանը, այլև՝</w:t>
      </w:r>
      <w:r w:rsidR="00F04A90" w:rsidRPr="009E05DA">
        <w:rPr>
          <w:rFonts w:ascii="Calibri" w:hAnsi="Calibri" w:cs="Calibri"/>
          <w:sz w:val="24"/>
          <w:szCs w:val="24"/>
          <w:lang w:val="hy-AM"/>
        </w:rPr>
        <w:t> </w:t>
      </w:r>
      <w:r w:rsidR="00F04A90" w:rsidRPr="009E05DA">
        <w:rPr>
          <w:rFonts w:ascii="GHEA Grapalat" w:hAnsi="GHEA Grapalat"/>
          <w:bCs/>
          <w:sz w:val="24"/>
          <w:szCs w:val="24"/>
          <w:lang w:val="hy-AM"/>
        </w:rPr>
        <w:t>«օրենքի որակին»</w:t>
      </w:r>
      <w:r w:rsidR="00F04A90" w:rsidRPr="009E05DA">
        <w:rPr>
          <w:rFonts w:ascii="GHEA Grapalat" w:hAnsi="GHEA Grapalat"/>
          <w:sz w:val="24"/>
          <w:szCs w:val="24"/>
          <w:lang w:val="hy-AM"/>
        </w:rPr>
        <w:t>,</w:t>
      </w:r>
      <w:r w:rsidR="00F04A90" w:rsidRPr="009E05DA">
        <w:rPr>
          <w:rFonts w:ascii="Calibri" w:hAnsi="Calibri" w:cs="Calibri"/>
          <w:sz w:val="24"/>
          <w:szCs w:val="24"/>
          <w:lang w:val="hy-AM"/>
        </w:rPr>
        <w:t> </w:t>
      </w:r>
      <w:r w:rsidR="00F04A90" w:rsidRPr="009E05DA">
        <w:rPr>
          <w:rFonts w:ascii="GHEA Grapalat" w:hAnsi="GHEA Grapalat"/>
          <w:bCs/>
          <w:sz w:val="24"/>
          <w:szCs w:val="24"/>
          <w:lang w:val="hy-AM"/>
        </w:rPr>
        <w:t>որը պետք է լինի որոշակի, հետևանքները կանխատեսելի, ինչպես նաև հասանելի անձանց շրջանակին, որոնց վերաբերելի է, որպեսզի վերջիններս կարողանան կանխորոշել իրենց արարքների հետևանքները</w:t>
      </w:r>
      <w:r w:rsidR="005B1F44" w:rsidRPr="009E05DA">
        <w:rPr>
          <w:rStyle w:val="FootnoteReference"/>
          <w:rFonts w:ascii="GHEA Grapalat" w:hAnsi="GHEA Grapalat"/>
          <w:bCs/>
          <w:sz w:val="24"/>
          <w:szCs w:val="24"/>
          <w:lang w:val="hy-AM"/>
        </w:rPr>
        <w:footnoteReference w:id="10"/>
      </w:r>
      <w:r w:rsidR="00F04A90" w:rsidRPr="009E05DA">
        <w:rPr>
          <w:rFonts w:ascii="GHEA Grapalat" w:hAnsi="GHEA Grapalat"/>
          <w:bCs/>
          <w:sz w:val="24"/>
          <w:szCs w:val="24"/>
          <w:lang w:val="hy-AM"/>
        </w:rPr>
        <w:t>:</w:t>
      </w:r>
      <w:r w:rsidR="00F04A90" w:rsidRPr="009E05DA">
        <w:rPr>
          <w:rFonts w:ascii="Calibri" w:hAnsi="Calibri" w:cs="Calibri"/>
          <w:sz w:val="24"/>
          <w:szCs w:val="24"/>
          <w:lang w:val="hy-AM"/>
        </w:rPr>
        <w:t> </w:t>
      </w:r>
    </w:p>
    <w:p w:rsidR="00F30E9F" w:rsidRPr="009E05DA" w:rsidRDefault="00B65EC9" w:rsidP="007B226C">
      <w:pPr>
        <w:tabs>
          <w:tab w:val="left" w:pos="0"/>
        </w:tabs>
        <w:spacing w:after="0" w:line="360" w:lineRule="auto"/>
        <w:ind w:firstLine="720"/>
        <w:jc w:val="both"/>
        <w:rPr>
          <w:rFonts w:ascii="GHEA Grapalat" w:hAnsi="GHEA Grapalat"/>
          <w:sz w:val="24"/>
          <w:szCs w:val="24"/>
          <w:lang w:val="hy-AM"/>
        </w:rPr>
      </w:pPr>
      <w:r w:rsidRPr="009E05DA">
        <w:rPr>
          <w:rFonts w:ascii="GHEA Grapalat" w:hAnsi="GHEA Grapalat"/>
          <w:sz w:val="24"/>
          <w:szCs w:val="24"/>
          <w:lang w:val="hy-AM"/>
        </w:rPr>
        <w:lastRenderedPageBreak/>
        <w:t xml:space="preserve">Վերոգրյալը վկայում է այն մասին, որ կարգավորումները պետք է լինեն հստակ և զերծ </w:t>
      </w:r>
      <w:r w:rsidR="005D5D19" w:rsidRPr="009E05DA">
        <w:rPr>
          <w:rFonts w:ascii="GHEA Grapalat" w:hAnsi="GHEA Grapalat"/>
          <w:sz w:val="24"/>
          <w:szCs w:val="24"/>
          <w:lang w:val="hy-AM"/>
        </w:rPr>
        <w:t xml:space="preserve">լինեն </w:t>
      </w:r>
      <w:r w:rsidRPr="009E05DA">
        <w:rPr>
          <w:rFonts w:ascii="GHEA Grapalat" w:hAnsi="GHEA Grapalat"/>
          <w:sz w:val="24"/>
          <w:szCs w:val="24"/>
          <w:lang w:val="hy-AM"/>
        </w:rPr>
        <w:t>տարակերպ մեկանաբանություններ տալու հնարավորություններից</w:t>
      </w:r>
      <w:r w:rsidR="000F596B" w:rsidRPr="009E05DA">
        <w:rPr>
          <w:rFonts w:ascii="GHEA Grapalat" w:hAnsi="GHEA Grapalat"/>
          <w:sz w:val="24"/>
          <w:szCs w:val="24"/>
          <w:lang w:val="hy-AM"/>
        </w:rPr>
        <w:t>: Տվյալ պարագայում,</w:t>
      </w:r>
      <w:r w:rsidRPr="009E05DA">
        <w:rPr>
          <w:rFonts w:ascii="GHEA Grapalat" w:hAnsi="GHEA Grapalat"/>
          <w:sz w:val="24"/>
          <w:szCs w:val="24"/>
          <w:lang w:val="hy-AM"/>
        </w:rPr>
        <w:t xml:space="preserve"> Օրենքի 4-րդ հոդվածի 2-րդ մասից պարզ չէ, թե </w:t>
      </w:r>
      <w:r w:rsidR="000350BE" w:rsidRPr="009E05DA">
        <w:rPr>
          <w:rFonts w:ascii="GHEA Grapalat" w:hAnsi="GHEA Grapalat"/>
          <w:sz w:val="24"/>
          <w:szCs w:val="24"/>
          <w:lang w:val="hy-AM"/>
        </w:rPr>
        <w:t xml:space="preserve">համաներման կիրառման դեպքում Հայաստանի Հանրապետության քաղաքացիական դատավարության օրենսգրքով սահմանված ինչ կարգով </w:t>
      </w:r>
      <w:r w:rsidRPr="009E05DA">
        <w:rPr>
          <w:rFonts w:ascii="GHEA Grapalat" w:hAnsi="GHEA Grapalat"/>
          <w:sz w:val="24"/>
          <w:szCs w:val="24"/>
          <w:lang w:val="hy-AM"/>
        </w:rPr>
        <w:t xml:space="preserve">պետք է </w:t>
      </w:r>
      <w:r w:rsidR="000350BE" w:rsidRPr="009E05DA">
        <w:rPr>
          <w:rFonts w:ascii="GHEA Grapalat" w:hAnsi="GHEA Grapalat"/>
          <w:sz w:val="24"/>
          <w:szCs w:val="24"/>
          <w:lang w:val="hy-AM"/>
        </w:rPr>
        <w:t>լուծվի</w:t>
      </w:r>
      <w:r w:rsidR="000350BE" w:rsidRPr="009E05DA" w:rsidDel="000350BE">
        <w:rPr>
          <w:rFonts w:ascii="GHEA Grapalat" w:hAnsi="GHEA Grapalat"/>
          <w:sz w:val="24"/>
          <w:szCs w:val="24"/>
          <w:lang w:val="hy-AM"/>
        </w:rPr>
        <w:t xml:space="preserve"> </w:t>
      </w:r>
      <w:r w:rsidRPr="009E05DA">
        <w:rPr>
          <w:rFonts w:ascii="GHEA Grapalat" w:hAnsi="GHEA Grapalat"/>
          <w:sz w:val="24"/>
          <w:szCs w:val="24"/>
          <w:lang w:val="hy-AM"/>
        </w:rPr>
        <w:t>օրինական ուժի մեջ մտած դատավճռով հաստատված՝ տուժողին պատճառված վնասի հատուցման հարցը</w:t>
      </w:r>
      <w:r w:rsidR="00C3799F" w:rsidRPr="009E05DA">
        <w:rPr>
          <w:rFonts w:ascii="GHEA Grapalat" w:hAnsi="GHEA Grapalat"/>
          <w:sz w:val="24"/>
          <w:szCs w:val="24"/>
          <w:lang w:val="hy-AM"/>
        </w:rPr>
        <w:t>։</w:t>
      </w:r>
      <w:r w:rsidRPr="009E05DA">
        <w:rPr>
          <w:rFonts w:ascii="GHEA Grapalat" w:hAnsi="GHEA Grapalat"/>
          <w:sz w:val="24"/>
          <w:szCs w:val="24"/>
          <w:lang w:val="hy-AM"/>
        </w:rPr>
        <w:t xml:space="preserve"> </w:t>
      </w:r>
    </w:p>
    <w:p w:rsidR="00314B09" w:rsidRPr="009E05DA" w:rsidRDefault="00314B09" w:rsidP="007B226C">
      <w:pPr>
        <w:tabs>
          <w:tab w:val="left" w:pos="0"/>
        </w:tabs>
        <w:spacing w:after="0" w:line="360" w:lineRule="auto"/>
        <w:ind w:firstLine="720"/>
        <w:jc w:val="both"/>
        <w:rPr>
          <w:rFonts w:ascii="GHEA Grapalat" w:hAnsi="GHEA Grapalat"/>
          <w:sz w:val="24"/>
          <w:szCs w:val="24"/>
          <w:lang w:val="hy-AM"/>
        </w:rPr>
      </w:pPr>
      <w:r w:rsidRPr="009E05DA">
        <w:rPr>
          <w:rFonts w:ascii="GHEA Grapalat" w:hAnsi="GHEA Grapalat"/>
          <w:sz w:val="24"/>
          <w:szCs w:val="24"/>
          <w:lang w:val="hy-AM"/>
        </w:rPr>
        <w:t>Տվյալ դեպքում, մասնավորապես</w:t>
      </w:r>
      <w:r w:rsidR="00D8664F" w:rsidRPr="009E05DA">
        <w:rPr>
          <w:rFonts w:ascii="GHEA Grapalat" w:hAnsi="GHEA Grapalat"/>
          <w:sz w:val="24"/>
          <w:szCs w:val="24"/>
          <w:lang w:val="hy-AM"/>
        </w:rPr>
        <w:t>,</w:t>
      </w:r>
      <w:r w:rsidRPr="009E05DA">
        <w:rPr>
          <w:rFonts w:ascii="GHEA Grapalat" w:hAnsi="GHEA Grapalat"/>
          <w:sz w:val="24"/>
          <w:szCs w:val="24"/>
          <w:lang w:val="hy-AM"/>
        </w:rPr>
        <w:t xml:space="preserve"> </w:t>
      </w:r>
      <w:r w:rsidR="007B226C" w:rsidRPr="009E05DA">
        <w:rPr>
          <w:rFonts w:ascii="GHEA Grapalat" w:hAnsi="GHEA Grapalat"/>
          <w:sz w:val="24"/>
          <w:szCs w:val="24"/>
          <w:lang w:val="hy-AM"/>
        </w:rPr>
        <w:t xml:space="preserve">տուժողի համար կարող է </w:t>
      </w:r>
      <w:r w:rsidRPr="009E05DA">
        <w:rPr>
          <w:rFonts w:ascii="GHEA Grapalat" w:hAnsi="GHEA Grapalat"/>
          <w:sz w:val="24"/>
          <w:szCs w:val="24"/>
          <w:lang w:val="hy-AM"/>
        </w:rPr>
        <w:t xml:space="preserve">հարց </w:t>
      </w:r>
      <w:r w:rsidR="007B226C" w:rsidRPr="009E05DA">
        <w:rPr>
          <w:rFonts w:ascii="GHEA Grapalat" w:hAnsi="GHEA Grapalat"/>
          <w:sz w:val="24"/>
          <w:szCs w:val="24"/>
          <w:lang w:val="hy-AM"/>
        </w:rPr>
        <w:t>ծագել</w:t>
      </w:r>
      <w:r w:rsidRPr="009E05DA">
        <w:rPr>
          <w:rFonts w:ascii="GHEA Grapalat" w:hAnsi="GHEA Grapalat"/>
          <w:sz w:val="24"/>
          <w:szCs w:val="24"/>
          <w:lang w:val="hy-AM"/>
        </w:rPr>
        <w:t xml:space="preserve">, թե ինչ քայլեր պետք է ձեռնարկվեն </w:t>
      </w:r>
      <w:r w:rsidR="007B226C" w:rsidRPr="009E05DA">
        <w:rPr>
          <w:rFonts w:ascii="GHEA Grapalat" w:hAnsi="GHEA Grapalat"/>
          <w:sz w:val="24"/>
          <w:szCs w:val="24"/>
          <w:lang w:val="hy-AM"/>
        </w:rPr>
        <w:t>վերջինիս</w:t>
      </w:r>
      <w:r w:rsidRPr="009E05DA">
        <w:rPr>
          <w:rFonts w:ascii="GHEA Grapalat" w:hAnsi="GHEA Grapalat"/>
          <w:sz w:val="24"/>
          <w:szCs w:val="24"/>
          <w:lang w:val="hy-AM"/>
        </w:rPr>
        <w:t xml:space="preserve"> կողմից ուղղված պատճառված վնասի հատուցմանը, եթե պատճառված վնասը հատուցելու հարցը լուծելու </w:t>
      </w:r>
      <w:r w:rsidR="007B226C" w:rsidRPr="009E05DA">
        <w:rPr>
          <w:rFonts w:ascii="GHEA Grapalat" w:hAnsi="GHEA Grapalat"/>
          <w:sz w:val="24"/>
          <w:szCs w:val="24"/>
          <w:lang w:val="hy-AM"/>
        </w:rPr>
        <w:t xml:space="preserve">հետ կապված որևէ այլ իրավական կառուցակարգ, քան հայց հարուցելն է, </w:t>
      </w:r>
      <w:r w:rsidR="00147A03" w:rsidRPr="009E05DA">
        <w:rPr>
          <w:rFonts w:ascii="GHEA Grapalat" w:hAnsi="GHEA Grapalat"/>
          <w:sz w:val="24"/>
          <w:szCs w:val="24"/>
          <w:lang w:val="hy-AM"/>
        </w:rPr>
        <w:t xml:space="preserve">ՀՀ </w:t>
      </w:r>
      <w:r w:rsidR="007B226C" w:rsidRPr="009E05DA">
        <w:rPr>
          <w:rFonts w:ascii="GHEA Grapalat" w:hAnsi="GHEA Grapalat"/>
          <w:sz w:val="24"/>
          <w:szCs w:val="24"/>
          <w:lang w:val="hy-AM"/>
        </w:rPr>
        <w:t>քաղաքացիական դատավարության օրենսգիրքը չի նախատեսում</w:t>
      </w:r>
      <w:r w:rsidRPr="009E05DA">
        <w:rPr>
          <w:rFonts w:ascii="GHEA Grapalat" w:hAnsi="GHEA Grapalat"/>
          <w:sz w:val="24"/>
          <w:szCs w:val="24"/>
          <w:lang w:val="hy-AM"/>
        </w:rPr>
        <w:t xml:space="preserve">։ </w:t>
      </w:r>
    </w:p>
    <w:p w:rsidR="00E97D33" w:rsidRPr="00172B6B" w:rsidRDefault="00147A03" w:rsidP="00172B6B">
      <w:pPr>
        <w:tabs>
          <w:tab w:val="left" w:pos="0"/>
        </w:tabs>
        <w:spacing w:after="0" w:line="360" w:lineRule="auto"/>
        <w:ind w:firstLine="720"/>
        <w:jc w:val="both"/>
        <w:rPr>
          <w:rFonts w:ascii="GHEA Grapalat" w:hAnsi="GHEA Grapalat"/>
          <w:sz w:val="24"/>
          <w:szCs w:val="24"/>
          <w:lang w:val="hy-AM"/>
        </w:rPr>
      </w:pPr>
      <w:r w:rsidRPr="009E05DA">
        <w:rPr>
          <w:rFonts w:ascii="GHEA Grapalat" w:hAnsi="GHEA Grapalat"/>
          <w:sz w:val="24"/>
          <w:szCs w:val="24"/>
          <w:lang w:val="hy-AM"/>
        </w:rPr>
        <w:t>Ելնելով վերոգրյալից՝ կարծում ենք, որ Օրենքի 4-րդ հոդվածի 2-րդ մասը և 2-րդ հոդվածի 10-րդ մասը հակասում են ՀՀ Սահմանադրության 61-րդ, 63-րդ և 79-րդ հոդվածներին:</w:t>
      </w:r>
    </w:p>
    <w:sectPr w:rsidR="00E97D33" w:rsidRPr="00172B6B" w:rsidSect="003857DE">
      <w:footerReference w:type="default" r:id="rId8"/>
      <w:pgSz w:w="12240" w:h="15840"/>
      <w:pgMar w:top="1134" w:right="990" w:bottom="1260" w:left="108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8E2" w:rsidRDefault="00C608E2" w:rsidP="00C314D8">
      <w:pPr>
        <w:spacing w:after="0" w:line="240" w:lineRule="auto"/>
      </w:pPr>
      <w:r>
        <w:separator/>
      </w:r>
    </w:p>
  </w:endnote>
  <w:endnote w:type="continuationSeparator" w:id="0">
    <w:p w:rsidR="00C608E2" w:rsidRDefault="00C608E2" w:rsidP="00C314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1841024"/>
      <w:docPartObj>
        <w:docPartGallery w:val="Page Numbers (Bottom of Page)"/>
        <w:docPartUnique/>
      </w:docPartObj>
    </w:sdtPr>
    <w:sdtEndPr>
      <w:rPr>
        <w:noProof/>
      </w:rPr>
    </w:sdtEndPr>
    <w:sdtContent>
      <w:p w:rsidR="00E612C6" w:rsidRDefault="003839F8">
        <w:pPr>
          <w:pStyle w:val="Footer"/>
          <w:jc w:val="center"/>
        </w:pPr>
        <w:r>
          <w:fldChar w:fldCharType="begin"/>
        </w:r>
        <w:r w:rsidR="00F770C0">
          <w:instrText xml:space="preserve"> PAGE   \* MERGEFORMAT </w:instrText>
        </w:r>
        <w:r>
          <w:fldChar w:fldCharType="separate"/>
        </w:r>
        <w:r w:rsidR="0089151C">
          <w:rPr>
            <w:noProof/>
          </w:rPr>
          <w:t>5</w:t>
        </w:r>
        <w:r>
          <w:rPr>
            <w:noProof/>
          </w:rPr>
          <w:fldChar w:fldCharType="end"/>
        </w:r>
      </w:p>
    </w:sdtContent>
  </w:sdt>
  <w:p w:rsidR="00E612C6" w:rsidRDefault="00E612C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8E2" w:rsidRDefault="00C608E2" w:rsidP="00C314D8">
      <w:pPr>
        <w:spacing w:after="0" w:line="240" w:lineRule="auto"/>
      </w:pPr>
      <w:r>
        <w:separator/>
      </w:r>
    </w:p>
  </w:footnote>
  <w:footnote w:type="continuationSeparator" w:id="0">
    <w:p w:rsidR="00C608E2" w:rsidRDefault="00C608E2" w:rsidP="00C314D8">
      <w:pPr>
        <w:spacing w:after="0" w:line="240" w:lineRule="auto"/>
      </w:pPr>
      <w:r>
        <w:continuationSeparator/>
      </w:r>
    </w:p>
  </w:footnote>
  <w:footnote w:id="1">
    <w:p w:rsidR="006A667C" w:rsidRPr="009E05DA" w:rsidRDefault="006A667C">
      <w:pPr>
        <w:pStyle w:val="FootnoteText"/>
        <w:rPr>
          <w:rFonts w:ascii="GHEA Grapalat" w:hAnsi="GHEA Grapalat"/>
          <w:lang w:val="hy-AM"/>
        </w:rPr>
      </w:pPr>
      <w:r w:rsidRPr="009E05DA">
        <w:rPr>
          <w:rStyle w:val="FootnoteReference"/>
          <w:rFonts w:ascii="GHEA Grapalat" w:hAnsi="GHEA Grapalat"/>
        </w:rPr>
        <w:footnoteRef/>
      </w:r>
      <w:r w:rsidRPr="009E05DA">
        <w:rPr>
          <w:rFonts w:ascii="GHEA Grapalat" w:hAnsi="GHEA Grapalat"/>
        </w:rPr>
        <w:t xml:space="preserve"> </w:t>
      </w:r>
      <w:r w:rsidRPr="009E05DA">
        <w:rPr>
          <w:rFonts w:ascii="GHEA Grapalat" w:hAnsi="GHEA Grapalat" w:cs="Sylfaen"/>
        </w:rPr>
        <w:t>Այսուհետ՝</w:t>
      </w:r>
      <w:r w:rsidRPr="009E05DA">
        <w:rPr>
          <w:rFonts w:ascii="GHEA Grapalat" w:hAnsi="GHEA Grapalat"/>
        </w:rPr>
        <w:t xml:space="preserve"> </w:t>
      </w:r>
      <w:r w:rsidRPr="009E05DA">
        <w:rPr>
          <w:rFonts w:ascii="GHEA Grapalat" w:hAnsi="GHEA Grapalat" w:cs="Sylfaen"/>
        </w:rPr>
        <w:t>Դիմող</w:t>
      </w:r>
    </w:p>
  </w:footnote>
  <w:footnote w:id="2">
    <w:p w:rsidR="006A667C" w:rsidRPr="009E05DA" w:rsidRDefault="006A667C" w:rsidP="006A667C">
      <w:pPr>
        <w:pStyle w:val="FootnoteText"/>
        <w:rPr>
          <w:rFonts w:ascii="GHEA Grapalat" w:hAnsi="GHEA Grapalat"/>
        </w:rPr>
      </w:pPr>
      <w:r w:rsidRPr="009E05DA">
        <w:rPr>
          <w:rStyle w:val="FootnoteReference"/>
          <w:rFonts w:ascii="GHEA Grapalat" w:hAnsi="GHEA Grapalat"/>
        </w:rPr>
        <w:footnoteRef/>
      </w:r>
      <w:r w:rsidRPr="009E05DA">
        <w:rPr>
          <w:rFonts w:ascii="GHEA Grapalat" w:hAnsi="GHEA Grapalat"/>
        </w:rPr>
        <w:t xml:space="preserve"> Ա</w:t>
      </w:r>
      <w:r w:rsidRPr="009E05DA">
        <w:rPr>
          <w:rFonts w:ascii="GHEA Grapalat" w:hAnsi="GHEA Grapalat" w:cs="Sylfaen"/>
        </w:rPr>
        <w:t>յսուհետ՝</w:t>
      </w:r>
      <w:r w:rsidRPr="009E05DA">
        <w:rPr>
          <w:rFonts w:ascii="GHEA Grapalat" w:hAnsi="GHEA Grapalat"/>
        </w:rPr>
        <w:t xml:space="preserve"> </w:t>
      </w:r>
      <w:r w:rsidRPr="009E05DA">
        <w:rPr>
          <w:rFonts w:ascii="GHEA Grapalat" w:hAnsi="GHEA Grapalat" w:cs="Sylfaen"/>
        </w:rPr>
        <w:t>Օրենք</w:t>
      </w:r>
    </w:p>
  </w:footnote>
  <w:footnote w:id="3">
    <w:p w:rsidR="00CC348E" w:rsidRPr="009E05DA" w:rsidRDefault="00CC348E">
      <w:pPr>
        <w:pStyle w:val="FootnoteText"/>
        <w:rPr>
          <w:rFonts w:ascii="GHEA Grapalat" w:hAnsi="GHEA Grapalat"/>
          <w:lang w:val="hy-AM"/>
        </w:rPr>
      </w:pPr>
      <w:r w:rsidRPr="009E05DA">
        <w:rPr>
          <w:rStyle w:val="FootnoteReference"/>
          <w:rFonts w:ascii="GHEA Grapalat" w:hAnsi="GHEA Grapalat"/>
        </w:rPr>
        <w:footnoteRef/>
      </w:r>
      <w:r w:rsidRPr="009E05DA">
        <w:rPr>
          <w:rFonts w:ascii="GHEA Grapalat" w:hAnsi="GHEA Grapalat"/>
        </w:rPr>
        <w:t xml:space="preserve"> </w:t>
      </w:r>
      <w:r w:rsidR="00C2279F" w:rsidRPr="009E05DA">
        <w:rPr>
          <w:rFonts w:ascii="GHEA Grapalat" w:hAnsi="GHEA Grapalat"/>
          <w:lang w:val="hy-AM"/>
        </w:rPr>
        <w:t>Այսուհետ՝ Եվրոպական դատարան</w:t>
      </w:r>
    </w:p>
  </w:footnote>
  <w:footnote w:id="4">
    <w:p w:rsidR="009719DB" w:rsidRPr="009E05DA" w:rsidRDefault="00C2279F" w:rsidP="00547F60">
      <w:pPr>
        <w:pStyle w:val="FootnoteText"/>
        <w:jc w:val="both"/>
        <w:rPr>
          <w:rFonts w:ascii="GHEA Grapalat" w:hAnsi="GHEA Grapalat"/>
          <w:lang w:val="hy-AM"/>
        </w:rPr>
      </w:pPr>
      <w:r w:rsidRPr="009E05DA">
        <w:rPr>
          <w:rStyle w:val="FootnoteReference"/>
          <w:rFonts w:ascii="GHEA Grapalat" w:hAnsi="GHEA Grapalat"/>
        </w:rPr>
        <w:footnoteRef/>
      </w:r>
      <w:r w:rsidRPr="009E05DA">
        <w:rPr>
          <w:rFonts w:ascii="GHEA Grapalat" w:hAnsi="GHEA Grapalat"/>
          <w:lang w:val="hy-AM"/>
        </w:rPr>
        <w:t xml:space="preserve"> Տե</w:t>
      </w:r>
      <w:r w:rsidR="00081A87" w:rsidRPr="009E05DA">
        <w:rPr>
          <w:rFonts w:ascii="GHEA Grapalat" w:hAnsi="GHEA Grapalat"/>
          <w:lang w:val="hy-AM"/>
        </w:rPr>
        <w:t>՛</w:t>
      </w:r>
      <w:r w:rsidRPr="009E05DA">
        <w:rPr>
          <w:rFonts w:ascii="GHEA Grapalat" w:hAnsi="GHEA Grapalat"/>
          <w:lang w:val="hy-AM"/>
        </w:rPr>
        <w:t>ս՝ Բելեշը և այլք ընդդեմ Չեխիայի Հանրապետության 200</w:t>
      </w:r>
      <w:r w:rsidR="009719DB" w:rsidRPr="009E05DA">
        <w:rPr>
          <w:rFonts w:ascii="GHEA Grapalat" w:hAnsi="GHEA Grapalat"/>
          <w:lang w:val="hy-AM"/>
        </w:rPr>
        <w:t>3</w:t>
      </w:r>
      <w:r w:rsidRPr="009E05DA">
        <w:rPr>
          <w:rFonts w:ascii="GHEA Grapalat" w:hAnsi="GHEA Grapalat"/>
          <w:lang w:val="hy-AM"/>
        </w:rPr>
        <w:t xml:space="preserve"> թվականի </w:t>
      </w:r>
      <w:r w:rsidR="009719DB" w:rsidRPr="009E05DA">
        <w:rPr>
          <w:rFonts w:ascii="GHEA Grapalat" w:hAnsi="GHEA Grapalat"/>
          <w:lang w:val="hy-AM"/>
        </w:rPr>
        <w:t>փետրվարի 1</w:t>
      </w:r>
      <w:r w:rsidRPr="009E05DA">
        <w:rPr>
          <w:rFonts w:ascii="GHEA Grapalat" w:hAnsi="GHEA Grapalat"/>
          <w:lang w:val="hy-AM"/>
        </w:rPr>
        <w:t>2</w:t>
      </w:r>
      <w:r w:rsidR="009719DB" w:rsidRPr="009E05DA">
        <w:rPr>
          <w:rFonts w:ascii="GHEA Grapalat" w:hAnsi="GHEA Grapalat"/>
          <w:lang w:val="hy-AM"/>
        </w:rPr>
        <w:t>-ի</w:t>
      </w:r>
      <w:r w:rsidRPr="009E05DA">
        <w:rPr>
          <w:rFonts w:ascii="GHEA Grapalat" w:hAnsi="GHEA Grapalat"/>
          <w:lang w:val="hy-AM"/>
        </w:rPr>
        <w:t xml:space="preserve"> վճիռը, գանգատ թիվ </w:t>
      </w:r>
      <w:r w:rsidR="00CC348E" w:rsidRPr="009E05DA">
        <w:rPr>
          <w:rFonts w:ascii="GHEA Grapalat" w:hAnsi="GHEA Grapalat"/>
          <w:lang w:val="hy-AM"/>
        </w:rPr>
        <w:t>47273</w:t>
      </w:r>
      <w:r w:rsidRPr="009E05DA">
        <w:rPr>
          <w:rFonts w:ascii="GHEA Grapalat" w:hAnsi="GHEA Grapalat"/>
          <w:lang w:val="hy-AM"/>
        </w:rPr>
        <w:t>/</w:t>
      </w:r>
      <w:r w:rsidR="00CC348E" w:rsidRPr="009E05DA">
        <w:rPr>
          <w:rFonts w:ascii="GHEA Grapalat" w:hAnsi="GHEA Grapalat"/>
          <w:lang w:val="hy-AM"/>
        </w:rPr>
        <w:t>99</w:t>
      </w:r>
      <w:r w:rsidRPr="009E05DA">
        <w:rPr>
          <w:rFonts w:ascii="GHEA Grapalat" w:hAnsi="GHEA Grapalat"/>
          <w:lang w:val="hy-AM"/>
        </w:rPr>
        <w:t xml:space="preserve">, կետ </w:t>
      </w:r>
      <w:r w:rsidR="00CC348E" w:rsidRPr="009E05DA">
        <w:rPr>
          <w:rFonts w:ascii="GHEA Grapalat" w:hAnsi="GHEA Grapalat"/>
          <w:lang w:val="hy-AM"/>
        </w:rPr>
        <w:t>49</w:t>
      </w:r>
    </w:p>
  </w:footnote>
  <w:footnote w:id="5">
    <w:p w:rsidR="00CC348E" w:rsidRPr="009E05DA" w:rsidRDefault="00CC348E" w:rsidP="00547F60">
      <w:pPr>
        <w:pStyle w:val="FootnoteText"/>
        <w:jc w:val="both"/>
        <w:rPr>
          <w:rFonts w:ascii="GHEA Grapalat" w:hAnsi="GHEA Grapalat"/>
          <w:lang w:val="hy-AM"/>
        </w:rPr>
      </w:pPr>
      <w:r w:rsidRPr="009E05DA">
        <w:rPr>
          <w:rStyle w:val="FootnoteReference"/>
          <w:rFonts w:ascii="GHEA Grapalat" w:hAnsi="GHEA Grapalat"/>
        </w:rPr>
        <w:footnoteRef/>
      </w:r>
      <w:r w:rsidR="00C2279F" w:rsidRPr="009E05DA">
        <w:rPr>
          <w:rFonts w:ascii="GHEA Grapalat" w:hAnsi="GHEA Grapalat"/>
          <w:lang w:val="hy-AM"/>
        </w:rPr>
        <w:t xml:space="preserve"> </w:t>
      </w:r>
      <w:r w:rsidRPr="009E05DA">
        <w:rPr>
          <w:rFonts w:ascii="GHEA Grapalat" w:hAnsi="GHEA Grapalat"/>
          <w:lang w:val="hy-AM"/>
        </w:rPr>
        <w:t>Տե</w:t>
      </w:r>
      <w:r w:rsidR="00081A87" w:rsidRPr="009E05DA">
        <w:rPr>
          <w:rFonts w:ascii="GHEA Grapalat" w:hAnsi="GHEA Grapalat"/>
          <w:lang w:val="hy-AM"/>
        </w:rPr>
        <w:t>՛</w:t>
      </w:r>
      <w:r w:rsidRPr="009E05DA">
        <w:rPr>
          <w:rFonts w:ascii="GHEA Grapalat" w:hAnsi="GHEA Grapalat"/>
          <w:lang w:val="hy-AM"/>
        </w:rPr>
        <w:t xml:space="preserve">ս՝ </w:t>
      </w:r>
      <w:r w:rsidR="000E68F6" w:rsidRPr="009E05DA">
        <w:rPr>
          <w:rFonts w:ascii="GHEA Grapalat" w:hAnsi="GHEA Grapalat"/>
          <w:lang w:val="hy-AM"/>
        </w:rPr>
        <w:t>Գոլդերն</w:t>
      </w:r>
      <w:r w:rsidR="00C2279F" w:rsidRPr="009E05DA">
        <w:rPr>
          <w:rFonts w:ascii="GHEA Grapalat" w:hAnsi="GHEA Grapalat"/>
          <w:lang w:val="hy-AM"/>
        </w:rPr>
        <w:t xml:space="preserve"> ընդդեմ </w:t>
      </w:r>
      <w:r w:rsidR="000E68F6" w:rsidRPr="009E05DA">
        <w:rPr>
          <w:rFonts w:ascii="GHEA Grapalat" w:hAnsi="GHEA Grapalat"/>
          <w:lang w:val="hy-AM"/>
        </w:rPr>
        <w:t>Միացյալ Թագավորության</w:t>
      </w:r>
      <w:r w:rsidRPr="009E05DA">
        <w:rPr>
          <w:rFonts w:ascii="GHEA Grapalat" w:hAnsi="GHEA Grapalat"/>
          <w:lang w:val="hy-AM"/>
        </w:rPr>
        <w:t xml:space="preserve"> </w:t>
      </w:r>
      <w:r w:rsidR="000E68F6" w:rsidRPr="009E05DA">
        <w:rPr>
          <w:rFonts w:ascii="GHEA Grapalat" w:hAnsi="GHEA Grapalat"/>
          <w:lang w:val="hy-AM"/>
        </w:rPr>
        <w:t>1975</w:t>
      </w:r>
      <w:r w:rsidRPr="009E05DA">
        <w:rPr>
          <w:rFonts w:ascii="GHEA Grapalat" w:hAnsi="GHEA Grapalat"/>
          <w:lang w:val="hy-AM"/>
        </w:rPr>
        <w:t xml:space="preserve"> թվականի փետրվարի </w:t>
      </w:r>
      <w:r w:rsidR="000E68F6" w:rsidRPr="009E05DA">
        <w:rPr>
          <w:rFonts w:ascii="GHEA Grapalat" w:hAnsi="GHEA Grapalat"/>
          <w:lang w:val="hy-AM"/>
        </w:rPr>
        <w:t>21</w:t>
      </w:r>
      <w:r w:rsidRPr="009E05DA">
        <w:rPr>
          <w:rFonts w:ascii="GHEA Grapalat" w:hAnsi="GHEA Grapalat"/>
          <w:lang w:val="hy-AM"/>
        </w:rPr>
        <w:t xml:space="preserve">-ի վճիռը, գանգատ թիվ </w:t>
      </w:r>
      <w:r w:rsidR="000E68F6" w:rsidRPr="009E05DA">
        <w:rPr>
          <w:rFonts w:ascii="GHEA Grapalat" w:hAnsi="GHEA Grapalat"/>
          <w:lang w:val="hy-AM"/>
        </w:rPr>
        <w:t>4451</w:t>
      </w:r>
      <w:r w:rsidRPr="009E05DA">
        <w:rPr>
          <w:rFonts w:ascii="GHEA Grapalat" w:hAnsi="GHEA Grapalat"/>
          <w:lang w:val="hy-AM"/>
        </w:rPr>
        <w:t>/</w:t>
      </w:r>
      <w:r w:rsidR="000E68F6" w:rsidRPr="009E05DA">
        <w:rPr>
          <w:rFonts w:ascii="GHEA Grapalat" w:hAnsi="GHEA Grapalat"/>
          <w:lang w:val="hy-AM"/>
        </w:rPr>
        <w:t>70</w:t>
      </w:r>
      <w:r w:rsidRPr="009E05DA">
        <w:rPr>
          <w:rFonts w:ascii="GHEA Grapalat" w:hAnsi="GHEA Grapalat"/>
          <w:lang w:val="hy-AM"/>
        </w:rPr>
        <w:t xml:space="preserve">, կետ </w:t>
      </w:r>
      <w:r w:rsidR="000E68F6" w:rsidRPr="009E05DA">
        <w:rPr>
          <w:rFonts w:ascii="GHEA Grapalat" w:hAnsi="GHEA Grapalat"/>
          <w:lang w:val="hy-AM"/>
        </w:rPr>
        <w:t>36</w:t>
      </w:r>
    </w:p>
  </w:footnote>
  <w:footnote w:id="6">
    <w:p w:rsidR="000E68F6" w:rsidRPr="009E05DA" w:rsidRDefault="000E68F6" w:rsidP="00547F60">
      <w:pPr>
        <w:pStyle w:val="FootnoteText"/>
        <w:jc w:val="both"/>
        <w:rPr>
          <w:rFonts w:ascii="GHEA Grapalat" w:hAnsi="GHEA Grapalat"/>
          <w:lang w:val="hy-AM"/>
        </w:rPr>
      </w:pPr>
      <w:r w:rsidRPr="009E05DA">
        <w:rPr>
          <w:rStyle w:val="FootnoteReference"/>
          <w:rFonts w:ascii="GHEA Grapalat" w:hAnsi="GHEA Grapalat"/>
        </w:rPr>
        <w:footnoteRef/>
      </w:r>
      <w:r w:rsidR="00C2279F" w:rsidRPr="009E05DA">
        <w:rPr>
          <w:rFonts w:ascii="GHEA Grapalat" w:hAnsi="GHEA Grapalat"/>
          <w:lang w:val="hy-AM"/>
        </w:rPr>
        <w:t xml:space="preserve"> </w:t>
      </w:r>
      <w:r w:rsidRPr="009E05DA">
        <w:rPr>
          <w:rFonts w:ascii="GHEA Grapalat" w:hAnsi="GHEA Grapalat"/>
          <w:lang w:val="hy-AM"/>
        </w:rPr>
        <w:t>Տե</w:t>
      </w:r>
      <w:r w:rsidR="00081A87" w:rsidRPr="009E05DA">
        <w:rPr>
          <w:rFonts w:ascii="GHEA Grapalat" w:hAnsi="GHEA Grapalat"/>
          <w:lang w:val="hy-AM"/>
        </w:rPr>
        <w:t>՛</w:t>
      </w:r>
      <w:r w:rsidRPr="009E05DA">
        <w:rPr>
          <w:rFonts w:ascii="GHEA Grapalat" w:hAnsi="GHEA Grapalat"/>
          <w:lang w:val="hy-AM"/>
        </w:rPr>
        <w:t>ս՝ նույն տեղում, կետ 38</w:t>
      </w:r>
    </w:p>
  </w:footnote>
  <w:footnote w:id="7">
    <w:p w:rsidR="000E68F6" w:rsidRPr="009E05DA" w:rsidRDefault="000E68F6" w:rsidP="00547F60">
      <w:pPr>
        <w:pStyle w:val="FootnoteText"/>
        <w:jc w:val="both"/>
        <w:rPr>
          <w:rFonts w:ascii="GHEA Grapalat" w:hAnsi="GHEA Grapalat"/>
          <w:lang w:val="hy-AM"/>
        </w:rPr>
      </w:pPr>
      <w:r w:rsidRPr="009E05DA">
        <w:rPr>
          <w:rStyle w:val="FootnoteReference"/>
          <w:rFonts w:ascii="GHEA Grapalat" w:hAnsi="GHEA Grapalat"/>
        </w:rPr>
        <w:footnoteRef/>
      </w:r>
      <w:r w:rsidR="00C2279F" w:rsidRPr="009E05DA">
        <w:rPr>
          <w:rFonts w:ascii="GHEA Grapalat" w:hAnsi="GHEA Grapalat"/>
          <w:lang w:val="hy-AM"/>
        </w:rPr>
        <w:t xml:space="preserve"> </w:t>
      </w:r>
      <w:r w:rsidRPr="009E05DA">
        <w:rPr>
          <w:rFonts w:ascii="GHEA Grapalat" w:hAnsi="GHEA Grapalat"/>
          <w:lang w:val="hy-AM"/>
        </w:rPr>
        <w:t>Տե</w:t>
      </w:r>
      <w:r w:rsidR="00081A87" w:rsidRPr="009E05DA">
        <w:rPr>
          <w:rFonts w:ascii="GHEA Grapalat" w:hAnsi="GHEA Grapalat"/>
          <w:lang w:val="hy-AM"/>
        </w:rPr>
        <w:t>՛</w:t>
      </w:r>
      <w:r w:rsidRPr="009E05DA">
        <w:rPr>
          <w:rFonts w:ascii="GHEA Grapalat" w:hAnsi="GHEA Grapalat"/>
          <w:lang w:val="hy-AM"/>
        </w:rPr>
        <w:t>ս՝ Աշինգդեյնն ընդդեմ Միացյալ Թագավորության 1985 թվականի մայիսի 28-ի վճիռը, գանգատ թիվ 8225/78, կետ 57</w:t>
      </w:r>
    </w:p>
  </w:footnote>
  <w:footnote w:id="8">
    <w:p w:rsidR="009E222C" w:rsidRPr="009E05DA" w:rsidRDefault="009E222C">
      <w:pPr>
        <w:pStyle w:val="FootnoteText"/>
        <w:rPr>
          <w:rFonts w:ascii="GHEA Grapalat" w:hAnsi="GHEA Grapalat"/>
          <w:lang w:val="hy-AM"/>
        </w:rPr>
      </w:pPr>
      <w:r w:rsidRPr="009E05DA">
        <w:rPr>
          <w:rStyle w:val="FootnoteReference"/>
          <w:rFonts w:ascii="GHEA Grapalat" w:hAnsi="GHEA Grapalat"/>
        </w:rPr>
        <w:footnoteRef/>
      </w:r>
      <w:r w:rsidRPr="009E05DA">
        <w:rPr>
          <w:rFonts w:ascii="GHEA Grapalat" w:hAnsi="GHEA Grapalat"/>
          <w:lang w:val="hy-AM"/>
        </w:rPr>
        <w:t>Տե</w:t>
      </w:r>
      <w:r w:rsidR="00081A87" w:rsidRPr="009E05DA">
        <w:rPr>
          <w:rFonts w:ascii="GHEA Grapalat" w:hAnsi="GHEA Grapalat"/>
          <w:lang w:val="hy-AM"/>
        </w:rPr>
        <w:t>՛</w:t>
      </w:r>
      <w:r w:rsidRPr="009E05DA">
        <w:rPr>
          <w:rFonts w:ascii="GHEA Grapalat" w:hAnsi="GHEA Grapalat"/>
          <w:lang w:val="hy-AM"/>
        </w:rPr>
        <w:t xml:space="preserve">ս՝ </w:t>
      </w:r>
      <w:r w:rsidR="00D8664F" w:rsidRPr="009E05DA">
        <w:rPr>
          <w:rFonts w:ascii="GHEA Grapalat" w:hAnsi="GHEA Grapalat"/>
          <w:lang w:val="hy-AM"/>
        </w:rPr>
        <w:t>Անագնոստոպուլոսն</w:t>
      </w:r>
      <w:r w:rsidRPr="009E05DA">
        <w:rPr>
          <w:rFonts w:ascii="GHEA Grapalat" w:hAnsi="GHEA Grapalat"/>
          <w:lang w:val="hy-AM"/>
        </w:rPr>
        <w:t xml:space="preserve"> ընդդեմ </w:t>
      </w:r>
      <w:r w:rsidR="000D18D4" w:rsidRPr="009E05DA">
        <w:rPr>
          <w:rFonts w:ascii="GHEA Grapalat" w:hAnsi="GHEA Grapalat"/>
          <w:lang w:val="hy-AM"/>
        </w:rPr>
        <w:t>Հ</w:t>
      </w:r>
      <w:r w:rsidR="00D8664F" w:rsidRPr="009E05DA">
        <w:rPr>
          <w:rFonts w:ascii="GHEA Grapalat" w:hAnsi="GHEA Grapalat"/>
          <w:lang w:val="hy-AM"/>
        </w:rPr>
        <w:t>ունաստանի</w:t>
      </w:r>
      <w:r w:rsidRPr="009E05DA">
        <w:rPr>
          <w:rFonts w:ascii="GHEA Grapalat" w:hAnsi="GHEA Grapalat"/>
          <w:lang w:val="hy-AM"/>
        </w:rPr>
        <w:t xml:space="preserve"> 2003 թվականի </w:t>
      </w:r>
      <w:r w:rsidR="00D8664F" w:rsidRPr="009E05DA">
        <w:rPr>
          <w:rFonts w:ascii="GHEA Grapalat" w:hAnsi="GHEA Grapalat"/>
          <w:lang w:val="hy-AM"/>
        </w:rPr>
        <w:t>հուլիսի 3</w:t>
      </w:r>
      <w:r w:rsidRPr="009E05DA">
        <w:rPr>
          <w:rFonts w:ascii="GHEA Grapalat" w:hAnsi="GHEA Grapalat"/>
          <w:lang w:val="hy-AM"/>
        </w:rPr>
        <w:t xml:space="preserve">-ի վճիռը, գանգատ թիվ </w:t>
      </w:r>
      <w:r w:rsidR="00D8664F" w:rsidRPr="009E05DA">
        <w:rPr>
          <w:rFonts w:ascii="GHEA Grapalat" w:hAnsi="GHEA Grapalat"/>
          <w:lang w:val="hy-AM"/>
        </w:rPr>
        <w:t>54589</w:t>
      </w:r>
      <w:r w:rsidRPr="009E05DA">
        <w:rPr>
          <w:rFonts w:ascii="GHEA Grapalat" w:hAnsi="GHEA Grapalat"/>
          <w:lang w:val="hy-AM"/>
        </w:rPr>
        <w:t>/</w:t>
      </w:r>
      <w:r w:rsidR="00D8664F" w:rsidRPr="009E05DA">
        <w:rPr>
          <w:rFonts w:ascii="GHEA Grapalat" w:hAnsi="GHEA Grapalat"/>
          <w:lang w:val="hy-AM"/>
        </w:rPr>
        <w:t>00</w:t>
      </w:r>
      <w:r w:rsidRPr="009E05DA">
        <w:rPr>
          <w:rFonts w:ascii="GHEA Grapalat" w:hAnsi="GHEA Grapalat"/>
          <w:lang w:val="hy-AM"/>
        </w:rPr>
        <w:t xml:space="preserve">, կետ </w:t>
      </w:r>
      <w:r w:rsidR="00D8664F" w:rsidRPr="009E05DA">
        <w:rPr>
          <w:rFonts w:ascii="GHEA Grapalat" w:hAnsi="GHEA Grapalat"/>
          <w:lang w:val="hy-AM"/>
        </w:rPr>
        <w:t>32</w:t>
      </w:r>
      <w:r w:rsidRPr="009E05DA">
        <w:rPr>
          <w:rFonts w:ascii="GHEA Grapalat" w:hAnsi="GHEA Grapalat"/>
          <w:lang w:val="hy-AM"/>
        </w:rPr>
        <w:t xml:space="preserve"> </w:t>
      </w:r>
    </w:p>
  </w:footnote>
  <w:footnote w:id="9">
    <w:p w:rsidR="005B1F44" w:rsidRPr="009E05DA" w:rsidRDefault="005B1F44" w:rsidP="00547F60">
      <w:pPr>
        <w:pStyle w:val="FootnoteText"/>
        <w:jc w:val="both"/>
        <w:rPr>
          <w:rFonts w:ascii="GHEA Grapalat" w:hAnsi="GHEA Grapalat"/>
          <w:lang w:val="hy-AM"/>
        </w:rPr>
      </w:pPr>
      <w:r w:rsidRPr="009E05DA">
        <w:rPr>
          <w:rStyle w:val="FootnoteReference"/>
          <w:rFonts w:ascii="GHEA Grapalat" w:hAnsi="GHEA Grapalat"/>
        </w:rPr>
        <w:footnoteRef/>
      </w:r>
      <w:r w:rsidR="00C2279F" w:rsidRPr="009E05DA">
        <w:rPr>
          <w:rFonts w:ascii="GHEA Grapalat" w:hAnsi="GHEA Grapalat"/>
          <w:lang w:val="hy-AM"/>
        </w:rPr>
        <w:t xml:space="preserve"> </w:t>
      </w:r>
      <w:r w:rsidRPr="009E05DA">
        <w:rPr>
          <w:rFonts w:ascii="GHEA Grapalat" w:hAnsi="GHEA Grapalat"/>
          <w:lang w:val="hy-AM"/>
        </w:rPr>
        <w:t>Տե՛ս</w:t>
      </w:r>
      <w:r w:rsidR="00081A87" w:rsidRPr="009E05DA">
        <w:rPr>
          <w:rFonts w:ascii="GHEA Grapalat" w:hAnsi="GHEA Grapalat"/>
          <w:lang w:val="hy-AM"/>
        </w:rPr>
        <w:t>՝</w:t>
      </w:r>
      <w:r w:rsidRPr="009E05DA">
        <w:rPr>
          <w:rFonts w:ascii="GHEA Grapalat" w:hAnsi="GHEA Grapalat"/>
          <w:lang w:val="hy-AM"/>
        </w:rPr>
        <w:t xml:space="preserve"> Սանդեյ Թայմսն ընդդեմ Միացյալ Թագավորության գործով 1979 թվականի ապրիլի 26-ի վճիռը, գանգատ թիվ 6538/74, կետ 49:</w:t>
      </w:r>
    </w:p>
  </w:footnote>
  <w:footnote w:id="10">
    <w:p w:rsidR="005B1F44" w:rsidRPr="009E05DA" w:rsidRDefault="005B1F44" w:rsidP="00547F60">
      <w:pPr>
        <w:pStyle w:val="FootnoteText"/>
        <w:jc w:val="both"/>
        <w:rPr>
          <w:rFonts w:ascii="GHEA Grapalat" w:hAnsi="GHEA Grapalat"/>
          <w:lang w:val="hy-AM"/>
        </w:rPr>
      </w:pPr>
      <w:r w:rsidRPr="009E05DA">
        <w:rPr>
          <w:rStyle w:val="FootnoteReference"/>
          <w:rFonts w:ascii="GHEA Grapalat" w:hAnsi="GHEA Grapalat"/>
        </w:rPr>
        <w:footnoteRef/>
      </w:r>
      <w:r w:rsidR="00C2279F" w:rsidRPr="009E05DA">
        <w:rPr>
          <w:rFonts w:ascii="GHEA Grapalat" w:hAnsi="GHEA Grapalat"/>
          <w:lang w:val="hy-AM"/>
        </w:rPr>
        <w:t xml:space="preserve"> </w:t>
      </w:r>
      <w:r w:rsidRPr="009E05DA">
        <w:rPr>
          <w:rFonts w:ascii="GHEA Grapalat" w:hAnsi="GHEA Grapalat"/>
          <w:lang w:val="hy-AM"/>
        </w:rPr>
        <w:t>Տե՛ս</w:t>
      </w:r>
      <w:r w:rsidR="00081A87" w:rsidRPr="009E05DA">
        <w:rPr>
          <w:rFonts w:ascii="GHEA Grapalat" w:hAnsi="GHEA Grapalat"/>
          <w:lang w:val="hy-AM"/>
        </w:rPr>
        <w:t>՝</w:t>
      </w:r>
      <w:r w:rsidRPr="009E05DA">
        <w:rPr>
          <w:rFonts w:ascii="GHEA Grapalat" w:hAnsi="GHEA Grapalat"/>
          <w:lang w:val="hy-AM"/>
        </w:rPr>
        <w:t xml:space="preserve"> </w:t>
      </w:r>
      <w:r w:rsidRPr="009E05DA">
        <w:rPr>
          <w:rFonts w:ascii="GHEA Grapalat" w:hAnsi="GHEA Grapalat" w:cs="Sylfaen"/>
          <w:lang w:val="hy-AM"/>
        </w:rPr>
        <w:t>Սիլվերն</w:t>
      </w:r>
      <w:r w:rsidRPr="009E05DA">
        <w:rPr>
          <w:rFonts w:ascii="GHEA Grapalat" w:hAnsi="GHEA Grapalat"/>
          <w:lang w:val="hy-AM"/>
        </w:rPr>
        <w:t xml:space="preserve"> </w:t>
      </w:r>
      <w:r w:rsidRPr="009E05DA">
        <w:rPr>
          <w:rFonts w:ascii="GHEA Grapalat" w:hAnsi="GHEA Grapalat" w:cs="Sylfaen"/>
          <w:lang w:val="hy-AM"/>
        </w:rPr>
        <w:t>ընդդեմ</w:t>
      </w:r>
      <w:r w:rsidRPr="009E05DA">
        <w:rPr>
          <w:rFonts w:ascii="GHEA Grapalat" w:hAnsi="GHEA Grapalat"/>
          <w:lang w:val="hy-AM"/>
        </w:rPr>
        <w:t xml:space="preserve"> </w:t>
      </w:r>
      <w:r w:rsidRPr="009E05DA">
        <w:rPr>
          <w:rFonts w:ascii="GHEA Grapalat" w:hAnsi="GHEA Grapalat" w:cs="Sylfaen"/>
          <w:lang w:val="hy-AM"/>
        </w:rPr>
        <w:t>Մեծ</w:t>
      </w:r>
      <w:r w:rsidRPr="009E05DA">
        <w:rPr>
          <w:rFonts w:ascii="GHEA Grapalat" w:hAnsi="GHEA Grapalat"/>
          <w:lang w:val="hy-AM"/>
        </w:rPr>
        <w:t xml:space="preserve"> </w:t>
      </w:r>
      <w:r w:rsidRPr="009E05DA">
        <w:rPr>
          <w:rFonts w:ascii="GHEA Grapalat" w:hAnsi="GHEA Grapalat" w:cs="Sylfaen"/>
          <w:lang w:val="hy-AM"/>
        </w:rPr>
        <w:t>Բրիտանիայի գործով</w:t>
      </w:r>
      <w:r w:rsidRPr="009E05DA">
        <w:rPr>
          <w:rFonts w:ascii="GHEA Grapalat" w:hAnsi="GHEA Grapalat"/>
          <w:lang w:val="hy-AM"/>
        </w:rPr>
        <w:t xml:space="preserve"> 1983 թվականի մարտի 25-ի վճիռը, գանգատ թիվ </w:t>
      </w:r>
      <w:r w:rsidRPr="009E05DA">
        <w:rPr>
          <w:rFonts w:ascii="Calibri" w:hAnsi="Calibri" w:cs="Calibri"/>
          <w:lang w:val="hy-AM"/>
        </w:rPr>
        <w:t> </w:t>
      </w:r>
      <w:hyperlink r:id="rId1" w:anchor="{%22appno%22:[%227136/75%22]}" w:tgtFrame="_blank" w:history="1">
        <w:r w:rsidR="00C2279F" w:rsidRPr="009E05DA">
          <w:rPr>
            <w:rFonts w:ascii="GHEA Grapalat" w:hAnsi="GHEA Grapalat"/>
            <w:lang w:val="hy-AM"/>
          </w:rPr>
          <w:t>7136/75</w:t>
        </w:r>
      </w:hyperlink>
      <w:r w:rsidRPr="009E05DA">
        <w:rPr>
          <w:rFonts w:ascii="GHEA Grapalat" w:hAnsi="GHEA Grapalat"/>
          <w:lang w:val="hy-AM"/>
        </w:rPr>
        <w:t>,</w:t>
      </w:r>
      <w:r w:rsidR="00C2279F" w:rsidRPr="009E05DA">
        <w:rPr>
          <w:rFonts w:ascii="GHEA Grapalat" w:hAnsi="GHEA Grapalat"/>
          <w:lang w:val="hy-AM"/>
        </w:rPr>
        <w:t xml:space="preserve"> 86-87 կետեր:</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412A39"/>
    <w:multiLevelType w:val="hybridMultilevel"/>
    <w:tmpl w:val="5F12BCE6"/>
    <w:lvl w:ilvl="0" w:tplc="7A72CBE4">
      <w:start w:val="1"/>
      <w:numFmt w:val="lowerRoman"/>
      <w:lvlText w:val="%1."/>
      <w:lvlJc w:val="left"/>
      <w:pPr>
        <w:ind w:left="135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C7"/>
    <w:rsid w:val="00010DCA"/>
    <w:rsid w:val="00015785"/>
    <w:rsid w:val="000350BE"/>
    <w:rsid w:val="0003650F"/>
    <w:rsid w:val="00043266"/>
    <w:rsid w:val="00053A39"/>
    <w:rsid w:val="00053D0A"/>
    <w:rsid w:val="00056059"/>
    <w:rsid w:val="00073468"/>
    <w:rsid w:val="00081A87"/>
    <w:rsid w:val="00090308"/>
    <w:rsid w:val="00095850"/>
    <w:rsid w:val="000965B4"/>
    <w:rsid w:val="000A77DB"/>
    <w:rsid w:val="000C163A"/>
    <w:rsid w:val="000C7DE3"/>
    <w:rsid w:val="000D18D4"/>
    <w:rsid w:val="000D2A50"/>
    <w:rsid w:val="000D638C"/>
    <w:rsid w:val="000E68F6"/>
    <w:rsid w:val="000F596B"/>
    <w:rsid w:val="0011722D"/>
    <w:rsid w:val="0012232C"/>
    <w:rsid w:val="0013717F"/>
    <w:rsid w:val="00147A03"/>
    <w:rsid w:val="00161E09"/>
    <w:rsid w:val="00172B16"/>
    <w:rsid w:val="00172B6B"/>
    <w:rsid w:val="0018020B"/>
    <w:rsid w:val="00182198"/>
    <w:rsid w:val="0018384C"/>
    <w:rsid w:val="00185455"/>
    <w:rsid w:val="00191C10"/>
    <w:rsid w:val="001932AD"/>
    <w:rsid w:val="001949C0"/>
    <w:rsid w:val="00197B66"/>
    <w:rsid w:val="001A4CCB"/>
    <w:rsid w:val="001B6E71"/>
    <w:rsid w:val="001C0BDF"/>
    <w:rsid w:val="001C6184"/>
    <w:rsid w:val="001D1502"/>
    <w:rsid w:val="001D2EB4"/>
    <w:rsid w:val="001D55F9"/>
    <w:rsid w:val="001F513F"/>
    <w:rsid w:val="001F5FEA"/>
    <w:rsid w:val="002027FB"/>
    <w:rsid w:val="00215C2E"/>
    <w:rsid w:val="00216A96"/>
    <w:rsid w:val="002264F7"/>
    <w:rsid w:val="00266A80"/>
    <w:rsid w:val="00281E71"/>
    <w:rsid w:val="002D6E4E"/>
    <w:rsid w:val="00306681"/>
    <w:rsid w:val="003076BF"/>
    <w:rsid w:val="00314B09"/>
    <w:rsid w:val="003360CB"/>
    <w:rsid w:val="003408FF"/>
    <w:rsid w:val="00341FDE"/>
    <w:rsid w:val="00355224"/>
    <w:rsid w:val="00362473"/>
    <w:rsid w:val="003634EA"/>
    <w:rsid w:val="003839F8"/>
    <w:rsid w:val="003857DE"/>
    <w:rsid w:val="003861A4"/>
    <w:rsid w:val="00391CD4"/>
    <w:rsid w:val="003A6217"/>
    <w:rsid w:val="003A6E47"/>
    <w:rsid w:val="003B0DD1"/>
    <w:rsid w:val="003B261D"/>
    <w:rsid w:val="003C16AC"/>
    <w:rsid w:val="003C5D90"/>
    <w:rsid w:val="003E6A34"/>
    <w:rsid w:val="00403C6D"/>
    <w:rsid w:val="00424F0F"/>
    <w:rsid w:val="00433C87"/>
    <w:rsid w:val="00434A25"/>
    <w:rsid w:val="00442A41"/>
    <w:rsid w:val="004615BB"/>
    <w:rsid w:val="00467F1C"/>
    <w:rsid w:val="00470C6E"/>
    <w:rsid w:val="00470E91"/>
    <w:rsid w:val="00471AAB"/>
    <w:rsid w:val="004800B0"/>
    <w:rsid w:val="004A4FB8"/>
    <w:rsid w:val="004A7002"/>
    <w:rsid w:val="004C5B08"/>
    <w:rsid w:val="004E228E"/>
    <w:rsid w:val="004F2A94"/>
    <w:rsid w:val="004F65D5"/>
    <w:rsid w:val="00500A52"/>
    <w:rsid w:val="0052494E"/>
    <w:rsid w:val="00535033"/>
    <w:rsid w:val="005408CA"/>
    <w:rsid w:val="005415AF"/>
    <w:rsid w:val="00547F60"/>
    <w:rsid w:val="00552BE8"/>
    <w:rsid w:val="00552EF1"/>
    <w:rsid w:val="0056442E"/>
    <w:rsid w:val="00564AB0"/>
    <w:rsid w:val="005678FD"/>
    <w:rsid w:val="005B124A"/>
    <w:rsid w:val="005B1F44"/>
    <w:rsid w:val="005B3BA8"/>
    <w:rsid w:val="005C315A"/>
    <w:rsid w:val="005D2108"/>
    <w:rsid w:val="005D5D19"/>
    <w:rsid w:val="005E48AF"/>
    <w:rsid w:val="006166BA"/>
    <w:rsid w:val="00621045"/>
    <w:rsid w:val="0063376F"/>
    <w:rsid w:val="00636EA8"/>
    <w:rsid w:val="006461CE"/>
    <w:rsid w:val="0065099F"/>
    <w:rsid w:val="00653B8C"/>
    <w:rsid w:val="00665D14"/>
    <w:rsid w:val="006763F4"/>
    <w:rsid w:val="006769B1"/>
    <w:rsid w:val="006879D7"/>
    <w:rsid w:val="00687FD2"/>
    <w:rsid w:val="0069030D"/>
    <w:rsid w:val="006A58EA"/>
    <w:rsid w:val="006A667C"/>
    <w:rsid w:val="006B02D3"/>
    <w:rsid w:val="006B78B3"/>
    <w:rsid w:val="006C496F"/>
    <w:rsid w:val="006D0DFA"/>
    <w:rsid w:val="007256E7"/>
    <w:rsid w:val="007363BE"/>
    <w:rsid w:val="00750C39"/>
    <w:rsid w:val="00766BD8"/>
    <w:rsid w:val="00770ADF"/>
    <w:rsid w:val="00771ADC"/>
    <w:rsid w:val="00775DB6"/>
    <w:rsid w:val="00775ECE"/>
    <w:rsid w:val="00776318"/>
    <w:rsid w:val="00776DC6"/>
    <w:rsid w:val="007772D9"/>
    <w:rsid w:val="00781AB9"/>
    <w:rsid w:val="007928E9"/>
    <w:rsid w:val="00793F6B"/>
    <w:rsid w:val="0079489D"/>
    <w:rsid w:val="00795DEB"/>
    <w:rsid w:val="007A5C3A"/>
    <w:rsid w:val="007B226C"/>
    <w:rsid w:val="007B4E53"/>
    <w:rsid w:val="007C1406"/>
    <w:rsid w:val="007C1EA4"/>
    <w:rsid w:val="007D2ACB"/>
    <w:rsid w:val="007D3CAF"/>
    <w:rsid w:val="007E4A65"/>
    <w:rsid w:val="007E68E0"/>
    <w:rsid w:val="008034EE"/>
    <w:rsid w:val="0082003F"/>
    <w:rsid w:val="0082556F"/>
    <w:rsid w:val="00825CE3"/>
    <w:rsid w:val="00831771"/>
    <w:rsid w:val="00837557"/>
    <w:rsid w:val="00844993"/>
    <w:rsid w:val="00845380"/>
    <w:rsid w:val="00854F7C"/>
    <w:rsid w:val="0089151C"/>
    <w:rsid w:val="008B06E6"/>
    <w:rsid w:val="008B1834"/>
    <w:rsid w:val="008B69D7"/>
    <w:rsid w:val="008C617D"/>
    <w:rsid w:val="008C6FEA"/>
    <w:rsid w:val="008D722C"/>
    <w:rsid w:val="008E5C73"/>
    <w:rsid w:val="008F4549"/>
    <w:rsid w:val="00906166"/>
    <w:rsid w:val="00911B18"/>
    <w:rsid w:val="0091333A"/>
    <w:rsid w:val="009157E9"/>
    <w:rsid w:val="009200AF"/>
    <w:rsid w:val="009201CF"/>
    <w:rsid w:val="00926747"/>
    <w:rsid w:val="00935923"/>
    <w:rsid w:val="00936D6A"/>
    <w:rsid w:val="00944EAA"/>
    <w:rsid w:val="00952ADF"/>
    <w:rsid w:val="00954472"/>
    <w:rsid w:val="00955B85"/>
    <w:rsid w:val="00967DE5"/>
    <w:rsid w:val="009719DB"/>
    <w:rsid w:val="00975122"/>
    <w:rsid w:val="009754C6"/>
    <w:rsid w:val="00985DEA"/>
    <w:rsid w:val="00992CF9"/>
    <w:rsid w:val="00997BB0"/>
    <w:rsid w:val="009A3B24"/>
    <w:rsid w:val="009B045E"/>
    <w:rsid w:val="009B0F24"/>
    <w:rsid w:val="009B2CEF"/>
    <w:rsid w:val="009C36FD"/>
    <w:rsid w:val="009E05DA"/>
    <w:rsid w:val="009E222C"/>
    <w:rsid w:val="009E32FA"/>
    <w:rsid w:val="009F3663"/>
    <w:rsid w:val="00A074EA"/>
    <w:rsid w:val="00A229C2"/>
    <w:rsid w:val="00A37A52"/>
    <w:rsid w:val="00A41F02"/>
    <w:rsid w:val="00A56A70"/>
    <w:rsid w:val="00A61375"/>
    <w:rsid w:val="00A919A1"/>
    <w:rsid w:val="00A936FF"/>
    <w:rsid w:val="00A953D3"/>
    <w:rsid w:val="00AA7049"/>
    <w:rsid w:val="00AB2DA3"/>
    <w:rsid w:val="00AC4B23"/>
    <w:rsid w:val="00AD0003"/>
    <w:rsid w:val="00AD1007"/>
    <w:rsid w:val="00AE28C7"/>
    <w:rsid w:val="00AF6218"/>
    <w:rsid w:val="00B03296"/>
    <w:rsid w:val="00B046A4"/>
    <w:rsid w:val="00B10FD5"/>
    <w:rsid w:val="00B123F4"/>
    <w:rsid w:val="00B219B9"/>
    <w:rsid w:val="00B233B4"/>
    <w:rsid w:val="00B40DBE"/>
    <w:rsid w:val="00B46335"/>
    <w:rsid w:val="00B65EC9"/>
    <w:rsid w:val="00B74F32"/>
    <w:rsid w:val="00B80083"/>
    <w:rsid w:val="00B80F28"/>
    <w:rsid w:val="00B82187"/>
    <w:rsid w:val="00B86B5A"/>
    <w:rsid w:val="00B871B5"/>
    <w:rsid w:val="00B924A9"/>
    <w:rsid w:val="00B959AA"/>
    <w:rsid w:val="00BA52C6"/>
    <w:rsid w:val="00BE474D"/>
    <w:rsid w:val="00BE59FC"/>
    <w:rsid w:val="00BF5406"/>
    <w:rsid w:val="00C11F72"/>
    <w:rsid w:val="00C12D4C"/>
    <w:rsid w:val="00C21293"/>
    <w:rsid w:val="00C21F2B"/>
    <w:rsid w:val="00C2279F"/>
    <w:rsid w:val="00C23B89"/>
    <w:rsid w:val="00C24A61"/>
    <w:rsid w:val="00C314D8"/>
    <w:rsid w:val="00C3799F"/>
    <w:rsid w:val="00C40278"/>
    <w:rsid w:val="00C552FC"/>
    <w:rsid w:val="00C608E2"/>
    <w:rsid w:val="00C6204B"/>
    <w:rsid w:val="00CA281D"/>
    <w:rsid w:val="00CA3353"/>
    <w:rsid w:val="00CA72EC"/>
    <w:rsid w:val="00CC348E"/>
    <w:rsid w:val="00CC4D19"/>
    <w:rsid w:val="00CD511E"/>
    <w:rsid w:val="00CE6E8B"/>
    <w:rsid w:val="00CF1D1F"/>
    <w:rsid w:val="00D02385"/>
    <w:rsid w:val="00D166CA"/>
    <w:rsid w:val="00D167E3"/>
    <w:rsid w:val="00D36CEB"/>
    <w:rsid w:val="00D50B5F"/>
    <w:rsid w:val="00D54540"/>
    <w:rsid w:val="00D60161"/>
    <w:rsid w:val="00D71E15"/>
    <w:rsid w:val="00D75519"/>
    <w:rsid w:val="00D85D40"/>
    <w:rsid w:val="00D8664F"/>
    <w:rsid w:val="00DA32F9"/>
    <w:rsid w:val="00DA7836"/>
    <w:rsid w:val="00DB4B5A"/>
    <w:rsid w:val="00DC6469"/>
    <w:rsid w:val="00DF4FB1"/>
    <w:rsid w:val="00E34C03"/>
    <w:rsid w:val="00E40CB9"/>
    <w:rsid w:val="00E56295"/>
    <w:rsid w:val="00E612C6"/>
    <w:rsid w:val="00E633A9"/>
    <w:rsid w:val="00E67A1F"/>
    <w:rsid w:val="00E702E3"/>
    <w:rsid w:val="00E72C38"/>
    <w:rsid w:val="00E73E32"/>
    <w:rsid w:val="00E8582F"/>
    <w:rsid w:val="00E86342"/>
    <w:rsid w:val="00E97D33"/>
    <w:rsid w:val="00EB25F3"/>
    <w:rsid w:val="00EB727C"/>
    <w:rsid w:val="00EB7AD1"/>
    <w:rsid w:val="00ED6E0E"/>
    <w:rsid w:val="00EE247D"/>
    <w:rsid w:val="00EE3BAE"/>
    <w:rsid w:val="00F04A90"/>
    <w:rsid w:val="00F154BA"/>
    <w:rsid w:val="00F30E9F"/>
    <w:rsid w:val="00F33D04"/>
    <w:rsid w:val="00F35D9F"/>
    <w:rsid w:val="00F716E3"/>
    <w:rsid w:val="00F770C0"/>
    <w:rsid w:val="00F809B4"/>
    <w:rsid w:val="00F91827"/>
    <w:rsid w:val="00FB451F"/>
    <w:rsid w:val="00FC6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AFB906"/>
  <w15:docId w15:val="{35282D99-0D99-49CC-90FF-E83F92F38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F6B"/>
  </w:style>
  <w:style w:type="paragraph" w:styleId="Heading1">
    <w:name w:val="heading 1"/>
    <w:basedOn w:val="Normal"/>
    <w:link w:val="Heading1Char"/>
    <w:uiPriority w:val="9"/>
    <w:qFormat/>
    <w:rsid w:val="00C21F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List Paragraph 1,List_Paragraph,Multilevel para_II"/>
    <w:basedOn w:val="Normal"/>
    <w:link w:val="ListParagraphChar"/>
    <w:uiPriority w:val="34"/>
    <w:qFormat/>
    <w:rsid w:val="000965B4"/>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aliases w:val="single space,Footnote Text Char Char,Текст сноски Знак Знак,Текст сноски Знак1 Знак Знак,Текст сноски Знак Знак Знак Знак,Текст сноски Знак1 Знак Знак Знак Знак,Текст сноски Знак Знак Знак Знак Знак Знак,fn,ADB,fn Char,f,5_G"/>
    <w:basedOn w:val="Normal"/>
    <w:link w:val="FootnoteTextChar"/>
    <w:uiPriority w:val="99"/>
    <w:unhideWhenUsed/>
    <w:qFormat/>
    <w:rsid w:val="00C314D8"/>
    <w:pPr>
      <w:spacing w:after="0" w:line="240" w:lineRule="auto"/>
    </w:pPr>
    <w:rPr>
      <w:sz w:val="20"/>
      <w:szCs w:val="20"/>
    </w:rPr>
  </w:style>
  <w:style w:type="character" w:customStyle="1" w:styleId="FootnoteTextChar">
    <w:name w:val="Footnote Text Char"/>
    <w:aliases w:val="single space Char,Footnote Text Char Char Char,Текст сноски Знак Знак Char,Текст сноски Знак1 Знак Знак Char,Текст сноски Знак Знак Знак Знак Char,Текст сноски Знак1 Знак Знак Знак Знак Char,fn Char1,ADB Char,fn Char Char,f Char"/>
    <w:basedOn w:val="DefaultParagraphFont"/>
    <w:link w:val="FootnoteText"/>
    <w:uiPriority w:val="99"/>
    <w:rsid w:val="00C314D8"/>
    <w:rPr>
      <w:sz w:val="20"/>
      <w:szCs w:val="20"/>
    </w:rPr>
  </w:style>
  <w:style w:type="character" w:styleId="FootnoteReference">
    <w:name w:val="footnote reference"/>
    <w:aliases w:val="BVI fnr Char Char Char Char,BVI fnr Car Car Char Char Char Char,BVI fnr Car Char Char Char Char,BVI fnr Car Car Car Car Char Char Char Char,BVI fnr Car Car Car Car Char Char Char Char Char,BVI fnr Char Char Char Char Char Char Char"/>
    <w:basedOn w:val="DefaultParagraphFont"/>
    <w:link w:val="BVIfnrCharCharChar"/>
    <w:uiPriority w:val="99"/>
    <w:unhideWhenUsed/>
    <w:rsid w:val="00C314D8"/>
    <w:rPr>
      <w:vertAlign w:val="superscript"/>
    </w:rPr>
  </w:style>
  <w:style w:type="character" w:customStyle="1" w:styleId="Heading1Char">
    <w:name w:val="Heading 1 Char"/>
    <w:basedOn w:val="DefaultParagraphFont"/>
    <w:link w:val="Heading1"/>
    <w:uiPriority w:val="9"/>
    <w:rsid w:val="00C21F2B"/>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56295"/>
    <w:rPr>
      <w:i/>
      <w:iCs/>
    </w:rPr>
  </w:style>
  <w:style w:type="paragraph" w:styleId="Header">
    <w:name w:val="header"/>
    <w:basedOn w:val="Normal"/>
    <w:link w:val="HeaderChar"/>
    <w:uiPriority w:val="99"/>
    <w:unhideWhenUsed/>
    <w:rsid w:val="006B0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2D3"/>
  </w:style>
  <w:style w:type="paragraph" w:styleId="Footer">
    <w:name w:val="footer"/>
    <w:basedOn w:val="Normal"/>
    <w:link w:val="FooterChar"/>
    <w:uiPriority w:val="99"/>
    <w:unhideWhenUsed/>
    <w:rsid w:val="006B0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2D3"/>
  </w:style>
  <w:style w:type="paragraph" w:styleId="BalloonText">
    <w:name w:val="Balloon Text"/>
    <w:basedOn w:val="Normal"/>
    <w:link w:val="BalloonTextChar"/>
    <w:uiPriority w:val="99"/>
    <w:semiHidden/>
    <w:unhideWhenUsed/>
    <w:rsid w:val="00A41F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F02"/>
    <w:rPr>
      <w:rFonts w:ascii="Segoe UI" w:hAnsi="Segoe UI" w:cs="Segoe UI"/>
      <w:sz w:val="18"/>
      <w:szCs w:val="18"/>
    </w:rPr>
  </w:style>
  <w:style w:type="paragraph" w:customStyle="1" w:styleId="s32b251d">
    <w:name w:val="s32b251d"/>
    <w:basedOn w:val="Normal"/>
    <w:rsid w:val="00467F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b8d990e2">
    <w:name w:val="sb8d990e2"/>
    <w:basedOn w:val="DefaultParagraphFont"/>
    <w:rsid w:val="00467F1C"/>
  </w:style>
  <w:style w:type="character" w:customStyle="1" w:styleId="s7d2086b4">
    <w:name w:val="s7d2086b4"/>
    <w:basedOn w:val="DefaultParagraphFont"/>
    <w:rsid w:val="00467F1C"/>
  </w:style>
  <w:style w:type="character" w:customStyle="1" w:styleId="s6b621b36">
    <w:name w:val="s6b621b36"/>
    <w:basedOn w:val="DefaultParagraphFont"/>
    <w:rsid w:val="00467F1C"/>
  </w:style>
  <w:style w:type="character" w:styleId="Hyperlink">
    <w:name w:val="Hyperlink"/>
    <w:basedOn w:val="DefaultParagraphFont"/>
    <w:uiPriority w:val="99"/>
    <w:unhideWhenUsed/>
    <w:rsid w:val="00467F1C"/>
    <w:rPr>
      <w:color w:val="0000FF"/>
      <w:u w:val="single"/>
    </w:rPr>
  </w:style>
  <w:style w:type="paragraph" w:customStyle="1" w:styleId="s86e29719">
    <w:name w:val="s86e29719"/>
    <w:basedOn w:val="Normal"/>
    <w:rsid w:val="00467F1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97B66"/>
    <w:rPr>
      <w:sz w:val="16"/>
      <w:szCs w:val="16"/>
    </w:rPr>
  </w:style>
  <w:style w:type="paragraph" w:styleId="CommentText">
    <w:name w:val="annotation text"/>
    <w:basedOn w:val="Normal"/>
    <w:link w:val="CommentTextChar"/>
    <w:uiPriority w:val="99"/>
    <w:semiHidden/>
    <w:unhideWhenUsed/>
    <w:rsid w:val="00197B66"/>
    <w:pPr>
      <w:spacing w:line="240" w:lineRule="auto"/>
    </w:pPr>
    <w:rPr>
      <w:sz w:val="20"/>
      <w:szCs w:val="20"/>
    </w:rPr>
  </w:style>
  <w:style w:type="character" w:customStyle="1" w:styleId="CommentTextChar">
    <w:name w:val="Comment Text Char"/>
    <w:basedOn w:val="DefaultParagraphFont"/>
    <w:link w:val="CommentText"/>
    <w:uiPriority w:val="99"/>
    <w:semiHidden/>
    <w:rsid w:val="00197B66"/>
    <w:rPr>
      <w:sz w:val="20"/>
      <w:szCs w:val="20"/>
    </w:rPr>
  </w:style>
  <w:style w:type="paragraph" w:styleId="CommentSubject">
    <w:name w:val="annotation subject"/>
    <w:basedOn w:val="CommentText"/>
    <w:next w:val="CommentText"/>
    <w:link w:val="CommentSubjectChar"/>
    <w:uiPriority w:val="99"/>
    <w:semiHidden/>
    <w:unhideWhenUsed/>
    <w:rsid w:val="00197B66"/>
    <w:rPr>
      <w:b/>
      <w:bCs/>
    </w:rPr>
  </w:style>
  <w:style w:type="character" w:customStyle="1" w:styleId="CommentSubjectChar">
    <w:name w:val="Comment Subject Char"/>
    <w:basedOn w:val="CommentTextChar"/>
    <w:link w:val="CommentSubject"/>
    <w:uiPriority w:val="99"/>
    <w:semiHidden/>
    <w:rsid w:val="00197B66"/>
    <w:rPr>
      <w:b/>
      <w:bCs/>
      <w:sz w:val="20"/>
      <w:szCs w:val="20"/>
    </w:rPr>
  </w:style>
  <w:style w:type="character" w:customStyle="1" w:styleId="BodyText1">
    <w:name w:val="Body Text1"/>
    <w:basedOn w:val="DefaultParagraphFont"/>
    <w:rsid w:val="00776DC6"/>
    <w:rPr>
      <w:b w:val="0"/>
      <w:bCs w:val="0"/>
      <w:i w:val="0"/>
      <w:iCs w:val="0"/>
      <w:smallCaps w:val="0"/>
      <w:strike w:val="0"/>
      <w:spacing w:val="0"/>
      <w:sz w:val="19"/>
      <w:szCs w:val="19"/>
    </w:rPr>
  </w:style>
  <w:style w:type="character" w:customStyle="1" w:styleId="BodytextItalic">
    <w:name w:val="Body text + Italic"/>
    <w:basedOn w:val="DefaultParagraphFont"/>
    <w:rsid w:val="00776DC6"/>
    <w:rPr>
      <w:b w:val="0"/>
      <w:bCs w:val="0"/>
      <w:i/>
      <w:iCs/>
      <w:smallCaps w:val="0"/>
      <w:strike w:val="0"/>
      <w:spacing w:val="0"/>
      <w:sz w:val="19"/>
      <w:szCs w:val="19"/>
    </w:rPr>
  </w:style>
  <w:style w:type="character" w:customStyle="1" w:styleId="BodytextSylfaen">
    <w:name w:val="Body text + Sylfaen"/>
    <w:aliases w:val="10.5 pt,Bold"/>
    <w:basedOn w:val="DefaultParagraphFont"/>
    <w:rsid w:val="005C315A"/>
    <w:rPr>
      <w:rFonts w:ascii="Sylfaen" w:eastAsia="Sylfaen" w:hAnsi="Sylfaen" w:cs="Sylfaen"/>
      <w:b/>
      <w:bCs/>
      <w:i w:val="0"/>
      <w:iCs w:val="0"/>
      <w:smallCaps w:val="0"/>
      <w:strike w:val="0"/>
      <w:spacing w:val="0"/>
      <w:sz w:val="21"/>
      <w:szCs w:val="21"/>
    </w:rPr>
  </w:style>
  <w:style w:type="character" w:customStyle="1" w:styleId="Bodytext">
    <w:name w:val="Body text_"/>
    <w:basedOn w:val="DefaultParagraphFont"/>
    <w:rsid w:val="00B74F32"/>
    <w:rPr>
      <w:b w:val="0"/>
      <w:bCs w:val="0"/>
      <w:i w:val="0"/>
      <w:iCs w:val="0"/>
      <w:smallCaps w:val="0"/>
      <w:strike w:val="0"/>
      <w:spacing w:val="0"/>
      <w:sz w:val="19"/>
      <w:szCs w:val="19"/>
    </w:rPr>
  </w:style>
  <w:style w:type="paragraph" w:customStyle="1" w:styleId="BVIfnrCharCharChar">
    <w:name w:val="BVI fnr Char Char Char"/>
    <w:aliases w:val="BVI fnr Car Car Char Char Char,BVI fnr Car Char Char Char,BVI fnr Car Car Car Car Char Char Char,BVI fnr Char Char Char Char Char Char,ftref,16 Point,Superscript 6 Po"/>
    <w:basedOn w:val="Normal"/>
    <w:link w:val="FootnoteReference"/>
    <w:uiPriority w:val="99"/>
    <w:qFormat/>
    <w:rsid w:val="00182198"/>
    <w:pPr>
      <w:spacing w:line="240" w:lineRule="exact"/>
    </w:pPr>
    <w:rPr>
      <w:vertAlign w:val="superscript"/>
    </w:rPr>
  </w:style>
  <w:style w:type="character" w:customStyle="1" w:styleId="ListParagraphChar">
    <w:name w:val="List Paragraph Char"/>
    <w:aliases w:val="Akapit z listą BS Char,List Paragraph 1 Char,List_Paragraph Char,Multilevel para_II Char"/>
    <w:link w:val="ListParagraph"/>
    <w:uiPriority w:val="34"/>
    <w:locked/>
    <w:rsid w:val="00182198"/>
    <w:rPr>
      <w:rFonts w:ascii="Times New Roman" w:eastAsia="Times New Roman" w:hAnsi="Times New Roman" w:cs="Times New Roman"/>
      <w:sz w:val="24"/>
      <w:szCs w:val="24"/>
    </w:rPr>
  </w:style>
  <w:style w:type="paragraph" w:styleId="NormalWeb">
    <w:name w:val="Normal (Web)"/>
    <w:basedOn w:val="Normal"/>
    <w:uiPriority w:val="99"/>
    <w:semiHidden/>
    <w:unhideWhenUsed/>
    <w:rsid w:val="009E32FA"/>
    <w:rPr>
      <w:rFonts w:ascii="Times New Roman" w:hAnsi="Times New Roman" w:cs="Times New Roman"/>
      <w:sz w:val="24"/>
      <w:szCs w:val="24"/>
    </w:rPr>
  </w:style>
  <w:style w:type="character" w:customStyle="1" w:styleId="Bodytext4">
    <w:name w:val="Body text (4)_"/>
    <w:basedOn w:val="DefaultParagraphFont"/>
    <w:rsid w:val="00C40278"/>
    <w:rPr>
      <w:rFonts w:ascii="Sylfaen" w:eastAsia="Sylfaen" w:hAnsi="Sylfaen" w:cs="Sylfaen"/>
      <w:b w:val="0"/>
      <w:bCs w:val="0"/>
      <w:i w:val="0"/>
      <w:iCs w:val="0"/>
      <w:smallCaps w:val="0"/>
      <w:strike w:val="0"/>
      <w:spacing w:val="0"/>
      <w:sz w:val="20"/>
      <w:szCs w:val="20"/>
    </w:rPr>
  </w:style>
  <w:style w:type="character" w:customStyle="1" w:styleId="Bodytext40">
    <w:name w:val="Body text (4)"/>
    <w:basedOn w:val="Bodytext4"/>
    <w:rsid w:val="00C40278"/>
    <w:rPr>
      <w:rFonts w:ascii="Sylfaen" w:eastAsia="Sylfaen" w:hAnsi="Sylfaen" w:cs="Sylfaen"/>
      <w:b w:val="0"/>
      <w:bCs w:val="0"/>
      <w:i w:val="0"/>
      <w:iCs w:val="0"/>
      <w:smallCaps w:val="0"/>
      <w:strike w:val="0"/>
      <w:spacing w:val="0"/>
      <w:sz w:val="20"/>
      <w:szCs w:val="20"/>
    </w:rPr>
  </w:style>
  <w:style w:type="character" w:customStyle="1" w:styleId="Bodytext4NotItalic">
    <w:name w:val="Body text (4) + Not Italic"/>
    <w:basedOn w:val="Bodytext4"/>
    <w:rsid w:val="00C40278"/>
    <w:rPr>
      <w:rFonts w:ascii="Sylfaen" w:eastAsia="Sylfaen" w:hAnsi="Sylfaen" w:cs="Sylfaen"/>
      <w:b w:val="0"/>
      <w:bCs w:val="0"/>
      <w:i/>
      <w:iCs/>
      <w:smallCaps w:val="0"/>
      <w:strike w:val="0"/>
      <w:spacing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107385">
      <w:bodyDiv w:val="1"/>
      <w:marLeft w:val="0"/>
      <w:marRight w:val="0"/>
      <w:marTop w:val="0"/>
      <w:marBottom w:val="0"/>
      <w:divBdr>
        <w:top w:val="none" w:sz="0" w:space="0" w:color="auto"/>
        <w:left w:val="none" w:sz="0" w:space="0" w:color="auto"/>
        <w:bottom w:val="none" w:sz="0" w:space="0" w:color="auto"/>
        <w:right w:val="none" w:sz="0" w:space="0" w:color="auto"/>
      </w:divBdr>
    </w:div>
    <w:div w:id="207030519">
      <w:bodyDiv w:val="1"/>
      <w:marLeft w:val="0"/>
      <w:marRight w:val="0"/>
      <w:marTop w:val="0"/>
      <w:marBottom w:val="0"/>
      <w:divBdr>
        <w:top w:val="none" w:sz="0" w:space="0" w:color="auto"/>
        <w:left w:val="none" w:sz="0" w:space="0" w:color="auto"/>
        <w:bottom w:val="none" w:sz="0" w:space="0" w:color="auto"/>
        <w:right w:val="none" w:sz="0" w:space="0" w:color="auto"/>
      </w:divBdr>
    </w:div>
    <w:div w:id="338511678">
      <w:bodyDiv w:val="1"/>
      <w:marLeft w:val="0"/>
      <w:marRight w:val="0"/>
      <w:marTop w:val="0"/>
      <w:marBottom w:val="0"/>
      <w:divBdr>
        <w:top w:val="none" w:sz="0" w:space="0" w:color="auto"/>
        <w:left w:val="none" w:sz="0" w:space="0" w:color="auto"/>
        <w:bottom w:val="none" w:sz="0" w:space="0" w:color="auto"/>
        <w:right w:val="none" w:sz="0" w:space="0" w:color="auto"/>
      </w:divBdr>
    </w:div>
    <w:div w:id="343098647">
      <w:bodyDiv w:val="1"/>
      <w:marLeft w:val="0"/>
      <w:marRight w:val="0"/>
      <w:marTop w:val="0"/>
      <w:marBottom w:val="0"/>
      <w:divBdr>
        <w:top w:val="none" w:sz="0" w:space="0" w:color="auto"/>
        <w:left w:val="none" w:sz="0" w:space="0" w:color="auto"/>
        <w:bottom w:val="none" w:sz="0" w:space="0" w:color="auto"/>
        <w:right w:val="none" w:sz="0" w:space="0" w:color="auto"/>
      </w:divBdr>
    </w:div>
    <w:div w:id="396755432">
      <w:bodyDiv w:val="1"/>
      <w:marLeft w:val="0"/>
      <w:marRight w:val="0"/>
      <w:marTop w:val="0"/>
      <w:marBottom w:val="0"/>
      <w:divBdr>
        <w:top w:val="none" w:sz="0" w:space="0" w:color="auto"/>
        <w:left w:val="none" w:sz="0" w:space="0" w:color="auto"/>
        <w:bottom w:val="none" w:sz="0" w:space="0" w:color="auto"/>
        <w:right w:val="none" w:sz="0" w:space="0" w:color="auto"/>
      </w:divBdr>
    </w:div>
    <w:div w:id="439229883">
      <w:bodyDiv w:val="1"/>
      <w:marLeft w:val="0"/>
      <w:marRight w:val="0"/>
      <w:marTop w:val="0"/>
      <w:marBottom w:val="0"/>
      <w:divBdr>
        <w:top w:val="none" w:sz="0" w:space="0" w:color="auto"/>
        <w:left w:val="none" w:sz="0" w:space="0" w:color="auto"/>
        <w:bottom w:val="none" w:sz="0" w:space="0" w:color="auto"/>
        <w:right w:val="none" w:sz="0" w:space="0" w:color="auto"/>
      </w:divBdr>
    </w:div>
    <w:div w:id="492767946">
      <w:bodyDiv w:val="1"/>
      <w:marLeft w:val="0"/>
      <w:marRight w:val="0"/>
      <w:marTop w:val="0"/>
      <w:marBottom w:val="0"/>
      <w:divBdr>
        <w:top w:val="none" w:sz="0" w:space="0" w:color="auto"/>
        <w:left w:val="none" w:sz="0" w:space="0" w:color="auto"/>
        <w:bottom w:val="none" w:sz="0" w:space="0" w:color="auto"/>
        <w:right w:val="none" w:sz="0" w:space="0" w:color="auto"/>
      </w:divBdr>
    </w:div>
    <w:div w:id="512185635">
      <w:bodyDiv w:val="1"/>
      <w:marLeft w:val="0"/>
      <w:marRight w:val="0"/>
      <w:marTop w:val="0"/>
      <w:marBottom w:val="0"/>
      <w:divBdr>
        <w:top w:val="none" w:sz="0" w:space="0" w:color="auto"/>
        <w:left w:val="none" w:sz="0" w:space="0" w:color="auto"/>
        <w:bottom w:val="none" w:sz="0" w:space="0" w:color="auto"/>
        <w:right w:val="none" w:sz="0" w:space="0" w:color="auto"/>
      </w:divBdr>
    </w:div>
    <w:div w:id="521434332">
      <w:bodyDiv w:val="1"/>
      <w:marLeft w:val="0"/>
      <w:marRight w:val="0"/>
      <w:marTop w:val="0"/>
      <w:marBottom w:val="0"/>
      <w:divBdr>
        <w:top w:val="none" w:sz="0" w:space="0" w:color="auto"/>
        <w:left w:val="none" w:sz="0" w:space="0" w:color="auto"/>
        <w:bottom w:val="none" w:sz="0" w:space="0" w:color="auto"/>
        <w:right w:val="none" w:sz="0" w:space="0" w:color="auto"/>
      </w:divBdr>
    </w:div>
    <w:div w:id="569195756">
      <w:bodyDiv w:val="1"/>
      <w:marLeft w:val="0"/>
      <w:marRight w:val="0"/>
      <w:marTop w:val="0"/>
      <w:marBottom w:val="0"/>
      <w:divBdr>
        <w:top w:val="none" w:sz="0" w:space="0" w:color="auto"/>
        <w:left w:val="none" w:sz="0" w:space="0" w:color="auto"/>
        <w:bottom w:val="none" w:sz="0" w:space="0" w:color="auto"/>
        <w:right w:val="none" w:sz="0" w:space="0" w:color="auto"/>
      </w:divBdr>
    </w:div>
    <w:div w:id="580794067">
      <w:bodyDiv w:val="1"/>
      <w:marLeft w:val="0"/>
      <w:marRight w:val="0"/>
      <w:marTop w:val="0"/>
      <w:marBottom w:val="0"/>
      <w:divBdr>
        <w:top w:val="none" w:sz="0" w:space="0" w:color="auto"/>
        <w:left w:val="none" w:sz="0" w:space="0" w:color="auto"/>
        <w:bottom w:val="none" w:sz="0" w:space="0" w:color="auto"/>
        <w:right w:val="none" w:sz="0" w:space="0" w:color="auto"/>
      </w:divBdr>
    </w:div>
    <w:div w:id="590818657">
      <w:bodyDiv w:val="1"/>
      <w:marLeft w:val="0"/>
      <w:marRight w:val="0"/>
      <w:marTop w:val="0"/>
      <w:marBottom w:val="0"/>
      <w:divBdr>
        <w:top w:val="none" w:sz="0" w:space="0" w:color="auto"/>
        <w:left w:val="none" w:sz="0" w:space="0" w:color="auto"/>
        <w:bottom w:val="none" w:sz="0" w:space="0" w:color="auto"/>
        <w:right w:val="none" w:sz="0" w:space="0" w:color="auto"/>
      </w:divBdr>
    </w:div>
    <w:div w:id="599148767">
      <w:bodyDiv w:val="1"/>
      <w:marLeft w:val="0"/>
      <w:marRight w:val="0"/>
      <w:marTop w:val="0"/>
      <w:marBottom w:val="0"/>
      <w:divBdr>
        <w:top w:val="none" w:sz="0" w:space="0" w:color="auto"/>
        <w:left w:val="none" w:sz="0" w:space="0" w:color="auto"/>
        <w:bottom w:val="none" w:sz="0" w:space="0" w:color="auto"/>
        <w:right w:val="none" w:sz="0" w:space="0" w:color="auto"/>
      </w:divBdr>
    </w:div>
    <w:div w:id="669723534">
      <w:bodyDiv w:val="1"/>
      <w:marLeft w:val="0"/>
      <w:marRight w:val="0"/>
      <w:marTop w:val="0"/>
      <w:marBottom w:val="0"/>
      <w:divBdr>
        <w:top w:val="none" w:sz="0" w:space="0" w:color="auto"/>
        <w:left w:val="none" w:sz="0" w:space="0" w:color="auto"/>
        <w:bottom w:val="none" w:sz="0" w:space="0" w:color="auto"/>
        <w:right w:val="none" w:sz="0" w:space="0" w:color="auto"/>
      </w:divBdr>
    </w:div>
    <w:div w:id="866603411">
      <w:bodyDiv w:val="1"/>
      <w:marLeft w:val="0"/>
      <w:marRight w:val="0"/>
      <w:marTop w:val="0"/>
      <w:marBottom w:val="0"/>
      <w:divBdr>
        <w:top w:val="none" w:sz="0" w:space="0" w:color="auto"/>
        <w:left w:val="none" w:sz="0" w:space="0" w:color="auto"/>
        <w:bottom w:val="none" w:sz="0" w:space="0" w:color="auto"/>
        <w:right w:val="none" w:sz="0" w:space="0" w:color="auto"/>
      </w:divBdr>
    </w:div>
    <w:div w:id="1001082030">
      <w:bodyDiv w:val="1"/>
      <w:marLeft w:val="0"/>
      <w:marRight w:val="0"/>
      <w:marTop w:val="0"/>
      <w:marBottom w:val="0"/>
      <w:divBdr>
        <w:top w:val="none" w:sz="0" w:space="0" w:color="auto"/>
        <w:left w:val="none" w:sz="0" w:space="0" w:color="auto"/>
        <w:bottom w:val="none" w:sz="0" w:space="0" w:color="auto"/>
        <w:right w:val="none" w:sz="0" w:space="0" w:color="auto"/>
      </w:divBdr>
    </w:div>
    <w:div w:id="1366829972">
      <w:bodyDiv w:val="1"/>
      <w:marLeft w:val="0"/>
      <w:marRight w:val="0"/>
      <w:marTop w:val="0"/>
      <w:marBottom w:val="0"/>
      <w:divBdr>
        <w:top w:val="none" w:sz="0" w:space="0" w:color="auto"/>
        <w:left w:val="none" w:sz="0" w:space="0" w:color="auto"/>
        <w:bottom w:val="none" w:sz="0" w:space="0" w:color="auto"/>
        <w:right w:val="none" w:sz="0" w:space="0" w:color="auto"/>
      </w:divBdr>
    </w:div>
    <w:div w:id="1572229881">
      <w:bodyDiv w:val="1"/>
      <w:marLeft w:val="0"/>
      <w:marRight w:val="0"/>
      <w:marTop w:val="0"/>
      <w:marBottom w:val="0"/>
      <w:divBdr>
        <w:top w:val="none" w:sz="0" w:space="0" w:color="auto"/>
        <w:left w:val="none" w:sz="0" w:space="0" w:color="auto"/>
        <w:bottom w:val="none" w:sz="0" w:space="0" w:color="auto"/>
        <w:right w:val="none" w:sz="0" w:space="0" w:color="auto"/>
      </w:divBdr>
    </w:div>
    <w:div w:id="1574125846">
      <w:bodyDiv w:val="1"/>
      <w:marLeft w:val="0"/>
      <w:marRight w:val="0"/>
      <w:marTop w:val="0"/>
      <w:marBottom w:val="0"/>
      <w:divBdr>
        <w:top w:val="none" w:sz="0" w:space="0" w:color="auto"/>
        <w:left w:val="none" w:sz="0" w:space="0" w:color="auto"/>
        <w:bottom w:val="none" w:sz="0" w:space="0" w:color="auto"/>
        <w:right w:val="none" w:sz="0" w:space="0" w:color="auto"/>
      </w:divBdr>
    </w:div>
    <w:div w:id="1612932383">
      <w:bodyDiv w:val="1"/>
      <w:marLeft w:val="0"/>
      <w:marRight w:val="0"/>
      <w:marTop w:val="0"/>
      <w:marBottom w:val="0"/>
      <w:divBdr>
        <w:top w:val="none" w:sz="0" w:space="0" w:color="auto"/>
        <w:left w:val="none" w:sz="0" w:space="0" w:color="auto"/>
        <w:bottom w:val="none" w:sz="0" w:space="0" w:color="auto"/>
        <w:right w:val="none" w:sz="0" w:space="0" w:color="auto"/>
      </w:divBdr>
    </w:div>
    <w:div w:id="1680543251">
      <w:bodyDiv w:val="1"/>
      <w:marLeft w:val="0"/>
      <w:marRight w:val="0"/>
      <w:marTop w:val="0"/>
      <w:marBottom w:val="0"/>
      <w:divBdr>
        <w:top w:val="none" w:sz="0" w:space="0" w:color="auto"/>
        <w:left w:val="none" w:sz="0" w:space="0" w:color="auto"/>
        <w:bottom w:val="none" w:sz="0" w:space="0" w:color="auto"/>
        <w:right w:val="none" w:sz="0" w:space="0" w:color="auto"/>
      </w:divBdr>
    </w:div>
    <w:div w:id="1790123549">
      <w:bodyDiv w:val="1"/>
      <w:marLeft w:val="0"/>
      <w:marRight w:val="0"/>
      <w:marTop w:val="0"/>
      <w:marBottom w:val="0"/>
      <w:divBdr>
        <w:top w:val="none" w:sz="0" w:space="0" w:color="auto"/>
        <w:left w:val="none" w:sz="0" w:space="0" w:color="auto"/>
        <w:bottom w:val="none" w:sz="0" w:space="0" w:color="auto"/>
        <w:right w:val="none" w:sz="0" w:space="0" w:color="auto"/>
      </w:divBdr>
    </w:div>
    <w:div w:id="1967084743">
      <w:bodyDiv w:val="1"/>
      <w:marLeft w:val="0"/>
      <w:marRight w:val="0"/>
      <w:marTop w:val="0"/>
      <w:marBottom w:val="0"/>
      <w:divBdr>
        <w:top w:val="none" w:sz="0" w:space="0" w:color="auto"/>
        <w:left w:val="none" w:sz="0" w:space="0" w:color="auto"/>
        <w:bottom w:val="none" w:sz="0" w:space="0" w:color="auto"/>
        <w:right w:val="none" w:sz="0" w:space="0" w:color="auto"/>
      </w:divBdr>
    </w:div>
    <w:div w:id="2068334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hudoc.echr.coe.int/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147F5-7612-44C7-A58D-5B7C7A998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1831</Words>
  <Characters>10438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Tigran Melqonyan</dc:creator>
  <cp:keywords/>
  <dc:description/>
  <cp:lastModifiedBy>Meri Mamikonyan</cp:lastModifiedBy>
  <cp:revision>3</cp:revision>
  <cp:lastPrinted>2017-09-05T06:22:00Z</cp:lastPrinted>
  <dcterms:created xsi:type="dcterms:W3CDTF">2019-01-22T06:44:00Z</dcterms:created>
  <dcterms:modified xsi:type="dcterms:W3CDTF">2019-01-22T06:44:00Z</dcterms:modified>
</cp:coreProperties>
</file>