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28EB3" w14:textId="3DD6F3E7" w:rsidR="0045296E" w:rsidRPr="0043445D" w:rsidRDefault="00951133" w:rsidP="0043445D">
      <w:pPr>
        <w:tabs>
          <w:tab w:val="left" w:pos="450"/>
        </w:tabs>
        <w:spacing w:after="0" w:line="360" w:lineRule="auto"/>
        <w:ind w:right="180" w:firstLine="720"/>
        <w:jc w:val="center"/>
        <w:rPr>
          <w:rFonts w:ascii="GHEA Grapalat" w:hAnsi="GHEA Grapalat"/>
          <w:b/>
          <w:sz w:val="24"/>
          <w:szCs w:val="24"/>
        </w:rPr>
      </w:pPr>
      <w:r w:rsidRPr="0043445D">
        <w:rPr>
          <w:rFonts w:ascii="GHEA Grapalat" w:hAnsi="GHEA Grapalat" w:cs="Arial"/>
          <w:b/>
          <w:sz w:val="24"/>
          <w:szCs w:val="24"/>
        </w:rPr>
        <w:t>ՀՀ</w:t>
      </w:r>
      <w:r w:rsidRPr="0043445D">
        <w:rPr>
          <w:rFonts w:ascii="GHEA Grapalat" w:hAnsi="GHEA Grapalat"/>
          <w:b/>
          <w:sz w:val="24"/>
          <w:szCs w:val="24"/>
        </w:rPr>
        <w:t xml:space="preserve"> </w:t>
      </w:r>
      <w:r w:rsidRPr="0043445D">
        <w:rPr>
          <w:rFonts w:ascii="GHEA Grapalat" w:hAnsi="GHEA Grapalat" w:cs="Arial"/>
          <w:b/>
          <w:sz w:val="24"/>
          <w:szCs w:val="24"/>
        </w:rPr>
        <w:t>ՄԱՐԴՈՒ</w:t>
      </w:r>
      <w:r w:rsidRPr="0043445D">
        <w:rPr>
          <w:rFonts w:ascii="GHEA Grapalat" w:hAnsi="GHEA Grapalat"/>
          <w:b/>
          <w:sz w:val="24"/>
          <w:szCs w:val="24"/>
        </w:rPr>
        <w:t xml:space="preserve"> </w:t>
      </w:r>
      <w:r w:rsidRPr="0043445D">
        <w:rPr>
          <w:rFonts w:ascii="GHEA Grapalat" w:hAnsi="GHEA Grapalat" w:cs="Arial"/>
          <w:b/>
          <w:sz w:val="24"/>
          <w:szCs w:val="24"/>
        </w:rPr>
        <w:t>ԻՐԱՎՈՒՆՔՆԵՐԻ</w:t>
      </w:r>
      <w:r w:rsidRPr="0043445D">
        <w:rPr>
          <w:rFonts w:ascii="GHEA Grapalat" w:hAnsi="GHEA Grapalat"/>
          <w:b/>
          <w:sz w:val="24"/>
          <w:szCs w:val="24"/>
        </w:rPr>
        <w:t xml:space="preserve"> </w:t>
      </w:r>
      <w:r w:rsidRPr="0043445D">
        <w:rPr>
          <w:rFonts w:ascii="GHEA Grapalat" w:hAnsi="GHEA Grapalat" w:cs="Arial"/>
          <w:b/>
          <w:sz w:val="24"/>
          <w:szCs w:val="24"/>
        </w:rPr>
        <w:t>ՊԱՇՏՊԱՆԻ</w:t>
      </w:r>
      <w:r w:rsidRPr="0043445D">
        <w:rPr>
          <w:rFonts w:ascii="GHEA Grapalat" w:hAnsi="GHEA Grapalat"/>
          <w:b/>
          <w:sz w:val="24"/>
          <w:szCs w:val="24"/>
        </w:rPr>
        <w:t xml:space="preserve"> </w:t>
      </w:r>
      <w:r w:rsidRPr="0043445D">
        <w:rPr>
          <w:rFonts w:ascii="GHEA Grapalat" w:hAnsi="GHEA Grapalat" w:cs="Arial"/>
          <w:b/>
          <w:sz w:val="24"/>
          <w:szCs w:val="24"/>
        </w:rPr>
        <w:t>ԴԻՐՔՈՐՈՇՈՒՄԸ</w:t>
      </w:r>
    </w:p>
    <w:p w14:paraId="0AB93D1A" w14:textId="652C5858" w:rsidR="0045296E" w:rsidRPr="0043445D" w:rsidRDefault="00692C51" w:rsidP="0043445D">
      <w:pPr>
        <w:tabs>
          <w:tab w:val="left" w:pos="450"/>
        </w:tabs>
        <w:spacing w:after="0" w:line="360" w:lineRule="auto"/>
        <w:ind w:right="180" w:firstLine="720"/>
        <w:jc w:val="center"/>
        <w:rPr>
          <w:rFonts w:ascii="GHEA Grapalat" w:hAnsi="GHEA Grapalat"/>
          <w:b/>
          <w:sz w:val="24"/>
          <w:szCs w:val="24"/>
          <w:lang w:val="hy-AM"/>
        </w:rPr>
      </w:pPr>
      <w:r w:rsidRPr="0043445D">
        <w:rPr>
          <w:rFonts w:ascii="GHEA Grapalat" w:hAnsi="GHEA Grapalat"/>
          <w:b/>
          <w:sz w:val="24"/>
          <w:szCs w:val="24"/>
          <w:lang w:val="hy-AM"/>
        </w:rPr>
        <w:t xml:space="preserve">«ՀՀ վճռաբեկ դատարանի դիմումի հիման վրա՝ ՀՀ քրեական դատավարության օրենսգրքի 379-րդ հոդվածի 1-ին մասի 2-րդ կետի՝ ՀՀ </w:t>
      </w:r>
      <w:r w:rsidR="008C2955">
        <w:rPr>
          <w:rFonts w:ascii="GHEA Grapalat" w:hAnsi="GHEA Grapalat"/>
          <w:b/>
          <w:sz w:val="24"/>
          <w:szCs w:val="24"/>
          <w:lang w:val="hy-AM"/>
        </w:rPr>
        <w:t>Ս</w:t>
      </w:r>
      <w:r w:rsidRPr="0043445D">
        <w:rPr>
          <w:rFonts w:ascii="GHEA Grapalat" w:hAnsi="GHEA Grapalat"/>
          <w:b/>
          <w:sz w:val="24"/>
          <w:szCs w:val="24"/>
          <w:lang w:val="hy-AM"/>
        </w:rPr>
        <w:t>ահմանադրությանը համապատասխանության հարցը որոշելու վերաբերյալ» գործի</w:t>
      </w:r>
      <w:r w:rsidR="0045296E" w:rsidRPr="0043445D">
        <w:rPr>
          <w:rFonts w:ascii="GHEA Grapalat" w:hAnsi="GHEA Grapalat"/>
          <w:b/>
          <w:sz w:val="24"/>
          <w:szCs w:val="24"/>
          <w:lang w:val="hy-AM"/>
        </w:rPr>
        <w:t xml:space="preserve"> կապակցությամբ</w:t>
      </w:r>
    </w:p>
    <w:p w14:paraId="7F69BA46" w14:textId="77777777" w:rsidR="0045296E" w:rsidRPr="0043445D" w:rsidRDefault="0045296E" w:rsidP="0043445D">
      <w:pPr>
        <w:tabs>
          <w:tab w:val="left" w:pos="450"/>
        </w:tabs>
        <w:spacing w:after="0" w:line="360" w:lineRule="auto"/>
        <w:ind w:right="180" w:firstLine="720"/>
        <w:jc w:val="center"/>
        <w:rPr>
          <w:rFonts w:ascii="GHEA Grapalat" w:hAnsi="GHEA Grapalat"/>
          <w:b/>
          <w:sz w:val="24"/>
          <w:szCs w:val="24"/>
          <w:lang w:val="hy-AM"/>
        </w:rPr>
      </w:pPr>
      <w:bookmarkStart w:id="0" w:name="_GoBack"/>
      <w:bookmarkEnd w:id="0"/>
    </w:p>
    <w:p w14:paraId="161C199A" w14:textId="77777777" w:rsidR="0045296E" w:rsidRPr="0043445D" w:rsidRDefault="0045296E" w:rsidP="0043445D">
      <w:pPr>
        <w:tabs>
          <w:tab w:val="left" w:pos="450"/>
        </w:tabs>
        <w:spacing w:after="0" w:line="360" w:lineRule="auto"/>
        <w:ind w:right="180" w:firstLine="720"/>
        <w:rPr>
          <w:rFonts w:ascii="GHEA Grapalat" w:hAnsi="GHEA Grapalat"/>
          <w:b/>
          <w:sz w:val="24"/>
          <w:szCs w:val="24"/>
          <w:u w:val="single"/>
          <w:lang w:val="hy-AM"/>
        </w:rPr>
      </w:pPr>
      <w:r w:rsidRPr="0043445D">
        <w:rPr>
          <w:rFonts w:ascii="GHEA Grapalat" w:hAnsi="GHEA Grapalat"/>
          <w:b/>
          <w:sz w:val="24"/>
          <w:szCs w:val="24"/>
          <w:u w:val="single"/>
          <w:lang w:val="hy-AM"/>
        </w:rPr>
        <w:t>Դիմող կողմի պահանջը</w:t>
      </w:r>
    </w:p>
    <w:p w14:paraId="4F0EDA53" w14:textId="4195544D" w:rsidR="0045296E" w:rsidRPr="0043445D" w:rsidRDefault="00692C51" w:rsidP="0043445D">
      <w:pPr>
        <w:tabs>
          <w:tab w:val="left" w:pos="450"/>
        </w:tabs>
        <w:spacing w:after="0" w:line="360" w:lineRule="auto"/>
        <w:ind w:right="180" w:firstLine="720"/>
        <w:jc w:val="both"/>
        <w:rPr>
          <w:rFonts w:ascii="GHEA Grapalat" w:hAnsi="GHEA Grapalat"/>
          <w:sz w:val="24"/>
          <w:szCs w:val="24"/>
          <w:lang w:val="hy-AM"/>
        </w:rPr>
      </w:pPr>
      <w:r w:rsidRPr="0043445D">
        <w:rPr>
          <w:rFonts w:ascii="GHEA Grapalat" w:hAnsi="GHEA Grapalat"/>
          <w:sz w:val="24"/>
          <w:szCs w:val="24"/>
          <w:lang w:val="hy-AM"/>
        </w:rPr>
        <w:t xml:space="preserve">ՀՀ վճռաբեկ դատարանը </w:t>
      </w:r>
      <w:r w:rsidR="0045296E" w:rsidRPr="0043445D">
        <w:rPr>
          <w:rFonts w:ascii="GHEA Grapalat" w:hAnsi="GHEA Grapalat"/>
          <w:sz w:val="24"/>
          <w:szCs w:val="24"/>
          <w:lang w:val="hy-AM"/>
        </w:rPr>
        <w:t>(այսուհետ՝ Դիմող), ղեկավարվելով ՀՀ Սահմանադրության 169-րդ հոդվածի 4-րդ մաս</w:t>
      </w:r>
      <w:r w:rsidR="00B82E5E" w:rsidRPr="0043445D">
        <w:rPr>
          <w:rFonts w:ascii="GHEA Grapalat" w:hAnsi="GHEA Grapalat"/>
          <w:sz w:val="24"/>
          <w:szCs w:val="24"/>
          <w:lang w:val="hy-AM"/>
        </w:rPr>
        <w:t>ով</w:t>
      </w:r>
      <w:r w:rsidR="008C2955">
        <w:rPr>
          <w:rFonts w:ascii="GHEA Grapalat" w:hAnsi="GHEA Grapalat"/>
          <w:sz w:val="24"/>
          <w:szCs w:val="24"/>
          <w:lang w:val="hy-AM"/>
        </w:rPr>
        <w:t>,</w:t>
      </w:r>
      <w:r w:rsidR="0045296E" w:rsidRPr="0043445D">
        <w:rPr>
          <w:rFonts w:ascii="GHEA Grapalat" w:hAnsi="GHEA Grapalat"/>
          <w:sz w:val="24"/>
          <w:szCs w:val="24"/>
          <w:lang w:val="hy-AM"/>
        </w:rPr>
        <w:t xml:space="preserve"> «Սահմանադրական դատարանի մասին» ՀՀ օրենքի </w:t>
      </w:r>
      <w:r w:rsidRPr="0043445D">
        <w:rPr>
          <w:rFonts w:ascii="GHEA Grapalat" w:hAnsi="GHEA Grapalat"/>
          <w:sz w:val="24"/>
          <w:szCs w:val="24"/>
          <w:lang w:val="hy-AM"/>
        </w:rPr>
        <w:t xml:space="preserve">23-րդ և </w:t>
      </w:r>
      <w:r w:rsidR="00B82E5E" w:rsidRPr="0043445D">
        <w:rPr>
          <w:rFonts w:ascii="GHEA Grapalat" w:hAnsi="GHEA Grapalat"/>
          <w:sz w:val="24"/>
          <w:szCs w:val="24"/>
          <w:lang w:val="hy-AM"/>
        </w:rPr>
        <w:t>71</w:t>
      </w:r>
      <w:r w:rsidR="0045296E" w:rsidRPr="0043445D">
        <w:rPr>
          <w:rFonts w:ascii="GHEA Grapalat" w:hAnsi="GHEA Grapalat"/>
          <w:sz w:val="24"/>
          <w:szCs w:val="24"/>
          <w:lang w:val="hy-AM"/>
        </w:rPr>
        <w:t xml:space="preserve">-րդ </w:t>
      </w:r>
      <w:r w:rsidR="00B82E5E" w:rsidRPr="0043445D">
        <w:rPr>
          <w:rFonts w:ascii="GHEA Grapalat" w:hAnsi="GHEA Grapalat"/>
          <w:sz w:val="24"/>
          <w:szCs w:val="24"/>
          <w:lang w:val="hy-AM"/>
        </w:rPr>
        <w:t>հոդված</w:t>
      </w:r>
      <w:r w:rsidRPr="0043445D">
        <w:rPr>
          <w:rFonts w:ascii="GHEA Grapalat" w:hAnsi="GHEA Grapalat"/>
          <w:sz w:val="24"/>
          <w:szCs w:val="24"/>
          <w:lang w:val="hy-AM"/>
        </w:rPr>
        <w:t>ներ</w:t>
      </w:r>
      <w:r w:rsidR="00B82E5E" w:rsidRPr="0043445D">
        <w:rPr>
          <w:rFonts w:ascii="GHEA Grapalat" w:hAnsi="GHEA Grapalat"/>
          <w:sz w:val="24"/>
          <w:szCs w:val="24"/>
          <w:lang w:val="hy-AM"/>
        </w:rPr>
        <w:t xml:space="preserve">ով </w:t>
      </w:r>
      <w:r w:rsidRPr="0043445D">
        <w:rPr>
          <w:rFonts w:ascii="GHEA Grapalat" w:hAnsi="GHEA Grapalat"/>
          <w:sz w:val="24"/>
          <w:szCs w:val="24"/>
          <w:lang w:val="hy-AM"/>
        </w:rPr>
        <w:t>և ՀՀ քրեական դատավարության օրենսգրքի</w:t>
      </w:r>
      <w:r w:rsidR="008C2955">
        <w:rPr>
          <w:rStyle w:val="FootnoteReference"/>
          <w:rFonts w:ascii="GHEA Grapalat" w:hAnsi="GHEA Grapalat"/>
          <w:sz w:val="24"/>
          <w:szCs w:val="24"/>
          <w:lang w:val="hy-AM"/>
        </w:rPr>
        <w:footnoteReference w:id="1"/>
      </w:r>
      <w:r w:rsidRPr="0043445D">
        <w:rPr>
          <w:rFonts w:ascii="GHEA Grapalat" w:hAnsi="GHEA Grapalat"/>
          <w:sz w:val="24"/>
          <w:szCs w:val="24"/>
          <w:lang w:val="hy-AM"/>
        </w:rPr>
        <w:t xml:space="preserve"> 16-րդ հոդվածով, 31-</w:t>
      </w:r>
      <w:r w:rsidRPr="00557F19">
        <w:rPr>
          <w:rFonts w:ascii="GHEA Grapalat" w:hAnsi="GHEA Grapalat"/>
          <w:sz w:val="24"/>
          <w:szCs w:val="24"/>
          <w:lang w:val="hy-AM"/>
        </w:rPr>
        <w:t>րդ հոդվածի 2-րդ մասով, 39-րդ, 43-րդ, 361</w:t>
      </w:r>
      <w:r w:rsidR="0045296E" w:rsidRPr="00557F19">
        <w:rPr>
          <w:rFonts w:ascii="GHEA Grapalat" w:hAnsi="GHEA Grapalat"/>
          <w:sz w:val="24"/>
          <w:szCs w:val="24"/>
          <w:vertAlign w:val="superscript"/>
          <w:lang w:val="hy-AM"/>
        </w:rPr>
        <w:t>1</w:t>
      </w:r>
      <w:r w:rsidR="001B5EF0" w:rsidRPr="00557F19">
        <w:rPr>
          <w:rFonts w:ascii="GHEA Grapalat" w:hAnsi="GHEA Grapalat"/>
          <w:sz w:val="24"/>
          <w:szCs w:val="24"/>
          <w:lang w:val="hy-AM"/>
        </w:rPr>
        <w:t xml:space="preserve">, 422-րդ և </w:t>
      </w:r>
      <w:r w:rsidR="008C2955">
        <w:rPr>
          <w:rFonts w:ascii="GHEA Grapalat" w:hAnsi="GHEA Grapalat"/>
          <w:sz w:val="24"/>
          <w:szCs w:val="24"/>
          <w:lang w:val="hy-AM"/>
        </w:rPr>
        <w:br/>
      </w:r>
      <w:r w:rsidR="001B5EF0" w:rsidRPr="00557F19">
        <w:rPr>
          <w:rFonts w:ascii="GHEA Grapalat" w:hAnsi="GHEA Grapalat"/>
          <w:sz w:val="24"/>
          <w:szCs w:val="24"/>
          <w:lang w:val="hy-AM"/>
        </w:rPr>
        <w:t>423-րդ հոդվածներով,</w:t>
      </w:r>
      <w:r w:rsidR="0045296E" w:rsidRPr="00557F19">
        <w:rPr>
          <w:rFonts w:ascii="GHEA Grapalat" w:hAnsi="GHEA Grapalat"/>
          <w:sz w:val="24"/>
          <w:szCs w:val="24"/>
          <w:lang w:val="hy-AM"/>
        </w:rPr>
        <w:t xml:space="preserve"> </w:t>
      </w:r>
      <w:r w:rsidR="001B5EF0" w:rsidRPr="00557F19">
        <w:rPr>
          <w:rFonts w:ascii="GHEA Grapalat" w:hAnsi="GHEA Grapalat"/>
          <w:sz w:val="24"/>
          <w:szCs w:val="24"/>
          <w:lang w:val="hy-AM"/>
        </w:rPr>
        <w:t xml:space="preserve">2018 </w:t>
      </w:r>
      <w:r w:rsidR="0045296E" w:rsidRPr="00557F19">
        <w:rPr>
          <w:rFonts w:ascii="GHEA Grapalat" w:hAnsi="GHEA Grapalat"/>
          <w:sz w:val="24"/>
          <w:szCs w:val="24"/>
          <w:lang w:val="hy-AM"/>
        </w:rPr>
        <w:t xml:space="preserve">թվականի </w:t>
      </w:r>
      <w:r w:rsidR="00B82E5E" w:rsidRPr="00557F19">
        <w:rPr>
          <w:rFonts w:ascii="GHEA Grapalat" w:hAnsi="GHEA Grapalat"/>
          <w:sz w:val="24"/>
          <w:szCs w:val="24"/>
          <w:lang w:val="hy-AM"/>
        </w:rPr>
        <w:t>հու</w:t>
      </w:r>
      <w:r w:rsidR="001B5EF0" w:rsidRPr="00557F19">
        <w:rPr>
          <w:rFonts w:ascii="GHEA Grapalat" w:hAnsi="GHEA Grapalat"/>
          <w:sz w:val="24"/>
          <w:szCs w:val="24"/>
          <w:lang w:val="hy-AM"/>
        </w:rPr>
        <w:t>լիսի 20</w:t>
      </w:r>
      <w:r w:rsidR="0045296E" w:rsidRPr="00557F19">
        <w:rPr>
          <w:rFonts w:ascii="GHEA Grapalat" w:hAnsi="GHEA Grapalat"/>
          <w:sz w:val="24"/>
          <w:szCs w:val="24"/>
          <w:lang w:val="hy-AM"/>
        </w:rPr>
        <w:t>-ին դիմել է ՀՀ</w:t>
      </w:r>
      <w:r w:rsidR="0045296E" w:rsidRPr="0043445D">
        <w:rPr>
          <w:rFonts w:ascii="GHEA Grapalat" w:hAnsi="GHEA Grapalat"/>
          <w:sz w:val="24"/>
          <w:szCs w:val="24"/>
          <w:lang w:val="hy-AM"/>
        </w:rPr>
        <w:t xml:space="preserve"> սահմանադրական դատարան՝ </w:t>
      </w:r>
      <w:r w:rsidR="001B5EF0" w:rsidRPr="0043445D">
        <w:rPr>
          <w:rFonts w:ascii="GHEA Grapalat" w:hAnsi="GHEA Grapalat"/>
          <w:sz w:val="24"/>
          <w:szCs w:val="24"/>
          <w:lang w:val="hy-AM"/>
        </w:rPr>
        <w:t xml:space="preserve">ՀՀ քրեական դատավարության օրենսգրքի 379-րդ հոդվածի 1-ին մասի 2-րդ կետի՝ </w:t>
      </w:r>
      <w:r w:rsidR="008C2955">
        <w:rPr>
          <w:rFonts w:ascii="GHEA Grapalat" w:hAnsi="GHEA Grapalat"/>
          <w:sz w:val="24"/>
          <w:szCs w:val="24"/>
          <w:lang w:val="hy-AM"/>
        </w:rPr>
        <w:t>ՀՀ Սահմանադրության</w:t>
      </w:r>
      <w:r w:rsidR="007F6369">
        <w:rPr>
          <w:rFonts w:ascii="GHEA Grapalat" w:hAnsi="GHEA Grapalat"/>
          <w:sz w:val="24"/>
          <w:szCs w:val="24"/>
          <w:lang w:val="hy-AM"/>
        </w:rPr>
        <w:t xml:space="preserve"> </w:t>
      </w:r>
      <w:r w:rsidR="001B5EF0" w:rsidRPr="0043445D">
        <w:rPr>
          <w:rFonts w:ascii="GHEA Grapalat" w:hAnsi="GHEA Grapalat"/>
          <w:sz w:val="24"/>
          <w:szCs w:val="24"/>
          <w:lang w:val="hy-AM"/>
        </w:rPr>
        <w:t xml:space="preserve">28-րդ հոդվածին, 61-րդ և 63-րդ հոդվածների 1-ին մասերին, 69-րդ և 78-րդ հոդվածներին </w:t>
      </w:r>
      <w:r w:rsidR="003A3B7A">
        <w:rPr>
          <w:rFonts w:ascii="GHEA Grapalat" w:hAnsi="GHEA Grapalat"/>
          <w:sz w:val="24"/>
          <w:szCs w:val="24"/>
          <w:lang w:val="hy-AM"/>
        </w:rPr>
        <w:t>համապատասխանության</w:t>
      </w:r>
      <w:r w:rsidR="001B5EF0" w:rsidRPr="0043445D">
        <w:rPr>
          <w:rFonts w:ascii="GHEA Grapalat" w:hAnsi="GHEA Grapalat"/>
          <w:sz w:val="24"/>
          <w:szCs w:val="24"/>
          <w:lang w:val="hy-AM"/>
        </w:rPr>
        <w:t xml:space="preserve"> </w:t>
      </w:r>
      <w:r w:rsidR="00B82E5E" w:rsidRPr="0043445D">
        <w:rPr>
          <w:rFonts w:ascii="GHEA Grapalat" w:hAnsi="GHEA Grapalat"/>
          <w:sz w:val="24"/>
          <w:szCs w:val="24"/>
          <w:lang w:val="hy-AM"/>
        </w:rPr>
        <w:t>հարցի լուծման խնդրանքով։</w:t>
      </w:r>
    </w:p>
    <w:p w14:paraId="07DA7088" w14:textId="77777777" w:rsidR="0012232C" w:rsidRPr="0043445D" w:rsidRDefault="0012232C" w:rsidP="0043445D">
      <w:pPr>
        <w:pStyle w:val="ListParagraph"/>
        <w:tabs>
          <w:tab w:val="left" w:pos="0"/>
          <w:tab w:val="left" w:pos="450"/>
          <w:tab w:val="left" w:pos="709"/>
        </w:tabs>
        <w:spacing w:line="360" w:lineRule="auto"/>
        <w:ind w:left="0" w:right="180" w:firstLine="720"/>
        <w:jc w:val="both"/>
        <w:rPr>
          <w:rFonts w:ascii="GHEA Grapalat" w:hAnsi="GHEA Grapalat" w:cs="Arial"/>
          <w:b/>
          <w:color w:val="000000"/>
          <w:u w:val="single"/>
          <w:shd w:val="clear" w:color="auto" w:fill="FFFFFF"/>
          <w:lang w:val="hy-AM"/>
        </w:rPr>
      </w:pPr>
    </w:p>
    <w:p w14:paraId="5E572408" w14:textId="4FB28D83" w:rsidR="003408FF" w:rsidRPr="0043445D" w:rsidRDefault="001B5EF0" w:rsidP="0043445D">
      <w:pPr>
        <w:tabs>
          <w:tab w:val="left" w:pos="450"/>
        </w:tabs>
        <w:spacing w:after="0" w:line="360" w:lineRule="auto"/>
        <w:ind w:right="180" w:firstLine="720"/>
        <w:jc w:val="both"/>
        <w:rPr>
          <w:rFonts w:ascii="GHEA Grapalat" w:hAnsi="GHEA Grapalat"/>
          <w:sz w:val="24"/>
          <w:szCs w:val="24"/>
          <w:u w:val="single"/>
          <w:lang w:val="hy-AM"/>
        </w:rPr>
      </w:pPr>
      <w:r w:rsidRPr="0043445D">
        <w:rPr>
          <w:rFonts w:ascii="GHEA Grapalat" w:hAnsi="GHEA Grapalat"/>
          <w:b/>
          <w:sz w:val="24"/>
          <w:szCs w:val="24"/>
          <w:u w:val="single"/>
          <w:lang w:val="hy-AM"/>
        </w:rPr>
        <w:t>ՀՀ քրեական դատավարության օրենսգրքի 379-րդ հոդվածի 1-ին մասի 2-րդ կետի</w:t>
      </w:r>
      <w:r w:rsidR="00B82E5E" w:rsidRPr="0043445D">
        <w:rPr>
          <w:rFonts w:ascii="GHEA Grapalat" w:hAnsi="GHEA Grapalat"/>
          <w:b/>
          <w:sz w:val="24"/>
          <w:szCs w:val="24"/>
          <w:u w:val="single"/>
          <w:lang w:val="hy-AM"/>
        </w:rPr>
        <w:t xml:space="preserve">՝ </w:t>
      </w:r>
      <w:r w:rsidR="003408FF" w:rsidRPr="0043445D">
        <w:rPr>
          <w:rFonts w:ascii="GHEA Grapalat" w:hAnsi="GHEA Grapalat"/>
          <w:b/>
          <w:sz w:val="24"/>
          <w:szCs w:val="24"/>
          <w:u w:val="single"/>
          <w:lang w:val="hy-AM"/>
        </w:rPr>
        <w:t>ՀՀ Սահմանադրության համապատասխանության հարցի վերաբերյալ ՀՀ մարդու իրավունքների պաշտպանի աշխատակազմի վերլուծությունը</w:t>
      </w:r>
    </w:p>
    <w:p w14:paraId="1A19C37C" w14:textId="26EA47CF" w:rsidR="00AD3C77" w:rsidRPr="0043445D" w:rsidRDefault="007F6369" w:rsidP="0043445D">
      <w:pPr>
        <w:shd w:val="clear" w:color="auto" w:fill="FFFFFF"/>
        <w:tabs>
          <w:tab w:val="left" w:pos="450"/>
        </w:tabs>
        <w:spacing w:after="0" w:line="360" w:lineRule="auto"/>
        <w:ind w:right="180" w:firstLine="720"/>
        <w:jc w:val="both"/>
        <w:rPr>
          <w:rFonts w:ascii="GHEA Grapalat" w:hAnsi="GHEA Grapalat"/>
          <w:sz w:val="24"/>
          <w:szCs w:val="24"/>
          <w:lang w:val="hy-AM"/>
        </w:rPr>
      </w:pPr>
      <w:r>
        <w:rPr>
          <w:rFonts w:ascii="GHEA Grapalat" w:hAnsi="GHEA Grapalat"/>
          <w:sz w:val="24"/>
          <w:szCs w:val="24"/>
          <w:lang w:val="hy-AM"/>
        </w:rPr>
        <w:t>Օ</w:t>
      </w:r>
      <w:r w:rsidR="001B5EF0" w:rsidRPr="0043445D">
        <w:rPr>
          <w:rFonts w:ascii="GHEA Grapalat" w:hAnsi="GHEA Grapalat"/>
          <w:sz w:val="24"/>
          <w:szCs w:val="24"/>
          <w:lang w:val="hy-AM"/>
        </w:rPr>
        <w:t xml:space="preserve">րենսգրքի 379-րդ հոդվածի 1-ին մասի 2-րդ կետի </w:t>
      </w:r>
      <w:r w:rsidR="002E2E13" w:rsidRPr="0043445D">
        <w:rPr>
          <w:rFonts w:ascii="GHEA Grapalat" w:hAnsi="GHEA Grapalat"/>
          <w:sz w:val="24"/>
          <w:szCs w:val="24"/>
          <w:lang w:val="hy-AM"/>
        </w:rPr>
        <w:t>համաձայն</w:t>
      </w:r>
      <w:r w:rsidR="00FB3271" w:rsidRPr="0043445D">
        <w:rPr>
          <w:rFonts w:ascii="GHEA Grapalat" w:hAnsi="GHEA Grapalat"/>
          <w:sz w:val="24"/>
          <w:szCs w:val="24"/>
          <w:lang w:val="hy-AM"/>
        </w:rPr>
        <w:t>`</w:t>
      </w:r>
      <w:r w:rsidR="002E2E13" w:rsidRPr="0043445D">
        <w:rPr>
          <w:rFonts w:ascii="GHEA Grapalat" w:hAnsi="GHEA Grapalat"/>
          <w:sz w:val="24"/>
          <w:szCs w:val="24"/>
          <w:lang w:val="hy-AM"/>
        </w:rPr>
        <w:t xml:space="preserve"> </w:t>
      </w:r>
      <w:r w:rsidR="001B5EF0" w:rsidRPr="0043445D">
        <w:rPr>
          <w:rFonts w:ascii="GHEA Grapalat" w:hAnsi="GHEA Grapalat"/>
          <w:sz w:val="24"/>
          <w:szCs w:val="24"/>
          <w:lang w:val="hy-AM"/>
        </w:rPr>
        <w:t xml:space="preserve">վերաքննիչ </w:t>
      </w:r>
      <w:r w:rsidR="00B9794B" w:rsidRPr="0043445D">
        <w:rPr>
          <w:rFonts w:ascii="GHEA Grapalat" w:hAnsi="GHEA Grapalat"/>
          <w:sz w:val="24"/>
          <w:szCs w:val="24"/>
          <w:lang w:val="hy-AM"/>
        </w:rPr>
        <w:t xml:space="preserve">բողոք </w:t>
      </w:r>
      <w:r w:rsidR="001B5EF0" w:rsidRPr="0043445D">
        <w:rPr>
          <w:rFonts w:ascii="GHEA Grapalat" w:hAnsi="GHEA Grapalat"/>
          <w:sz w:val="24"/>
          <w:szCs w:val="24"/>
          <w:lang w:val="hy-AM"/>
        </w:rPr>
        <w:t>բերվում են</w:t>
      </w:r>
      <w:r w:rsidR="00B9794B" w:rsidRPr="0043445D">
        <w:rPr>
          <w:rFonts w:ascii="GHEA Grapalat" w:hAnsi="GHEA Grapalat"/>
          <w:sz w:val="24"/>
          <w:szCs w:val="24"/>
          <w:lang w:val="hy-AM"/>
        </w:rPr>
        <w:t xml:space="preserve"> </w:t>
      </w:r>
      <w:r>
        <w:rPr>
          <w:rFonts w:ascii="GHEA Grapalat" w:hAnsi="GHEA Grapalat"/>
          <w:sz w:val="24"/>
          <w:szCs w:val="24"/>
          <w:lang w:val="hy-AM"/>
        </w:rPr>
        <w:t>Օ</w:t>
      </w:r>
      <w:r w:rsidR="00B9794B" w:rsidRPr="0043445D">
        <w:rPr>
          <w:rFonts w:ascii="GHEA Grapalat" w:hAnsi="GHEA Grapalat"/>
          <w:sz w:val="24"/>
          <w:szCs w:val="24"/>
          <w:lang w:val="hy-AM"/>
        </w:rPr>
        <w:t>րենսգրքի 376</w:t>
      </w:r>
      <w:r w:rsidR="00B9794B" w:rsidRPr="0043445D">
        <w:rPr>
          <w:rFonts w:ascii="GHEA Grapalat" w:hAnsi="GHEA Grapalat"/>
          <w:sz w:val="24"/>
          <w:szCs w:val="24"/>
          <w:vertAlign w:val="superscript"/>
          <w:lang w:val="hy-AM"/>
        </w:rPr>
        <w:t>1</w:t>
      </w:r>
      <w:r w:rsidR="00B9794B" w:rsidRPr="0043445D">
        <w:rPr>
          <w:rFonts w:ascii="GHEA Grapalat" w:hAnsi="GHEA Grapalat"/>
          <w:sz w:val="24"/>
          <w:szCs w:val="24"/>
          <w:lang w:val="hy-AM"/>
        </w:rPr>
        <w:t>-րդ հոդվածի</w:t>
      </w:r>
      <w:r w:rsidR="001B5EF0" w:rsidRPr="0043445D">
        <w:rPr>
          <w:rFonts w:ascii="GHEA Grapalat" w:hAnsi="GHEA Grapalat"/>
          <w:sz w:val="24"/>
          <w:szCs w:val="24"/>
          <w:lang w:val="hy-AM"/>
        </w:rPr>
        <w:t xml:space="preserve"> </w:t>
      </w:r>
      <w:r w:rsidR="001F3B68" w:rsidRPr="0043445D">
        <w:rPr>
          <w:rFonts w:ascii="GHEA Grapalat" w:hAnsi="GHEA Grapalat"/>
          <w:sz w:val="24"/>
          <w:szCs w:val="24"/>
          <w:lang w:val="hy-AM"/>
        </w:rPr>
        <w:t>2-րդ կետով նախատեսված դեպքում</w:t>
      </w:r>
      <w:r w:rsidR="00E93A08" w:rsidRPr="0043445D">
        <w:rPr>
          <w:rStyle w:val="FootnoteReference"/>
          <w:rFonts w:ascii="GHEA Grapalat" w:hAnsi="GHEA Grapalat"/>
          <w:sz w:val="24"/>
          <w:szCs w:val="24"/>
          <w:lang w:val="hy-AM"/>
        </w:rPr>
        <w:footnoteReference w:id="2"/>
      </w:r>
      <w:r w:rsidR="001F3B68" w:rsidRPr="0043445D">
        <w:rPr>
          <w:rFonts w:ascii="GHEA Grapalat" w:hAnsi="GHEA Grapalat"/>
          <w:sz w:val="24"/>
          <w:szCs w:val="24"/>
          <w:lang w:val="hy-AM"/>
        </w:rPr>
        <w:t xml:space="preserve">՝ դատական </w:t>
      </w:r>
      <w:r>
        <w:rPr>
          <w:rFonts w:ascii="GHEA Grapalat" w:hAnsi="GHEA Grapalat"/>
          <w:sz w:val="24"/>
          <w:szCs w:val="24"/>
          <w:lang w:val="hy-AM"/>
        </w:rPr>
        <w:t>ակտը</w:t>
      </w:r>
      <w:r w:rsidR="001F3B68" w:rsidRPr="0043445D">
        <w:rPr>
          <w:rFonts w:ascii="GHEA Grapalat" w:hAnsi="GHEA Grapalat"/>
          <w:sz w:val="24"/>
          <w:szCs w:val="24"/>
          <w:lang w:val="hy-AM"/>
        </w:rPr>
        <w:t xml:space="preserve"> օրինական ուժի մեջ մտնելու պահից վեցամսյա ժամկետում: </w:t>
      </w:r>
    </w:p>
    <w:p w14:paraId="5858B64C" w14:textId="4A1C4AAD" w:rsidR="001143C7" w:rsidRPr="0043445D" w:rsidRDefault="001F3B68" w:rsidP="0043445D">
      <w:pPr>
        <w:shd w:val="clear" w:color="auto" w:fill="FFFFFF"/>
        <w:tabs>
          <w:tab w:val="left" w:pos="450"/>
        </w:tabs>
        <w:spacing w:after="0" w:line="360" w:lineRule="auto"/>
        <w:ind w:right="180" w:firstLine="720"/>
        <w:jc w:val="both"/>
        <w:rPr>
          <w:rFonts w:ascii="GHEA Grapalat" w:eastAsia="Times New Roman" w:hAnsi="GHEA Grapalat" w:cs="Times New Roman"/>
          <w:color w:val="000000"/>
          <w:sz w:val="24"/>
          <w:szCs w:val="24"/>
          <w:lang w:val="hy-AM"/>
        </w:rPr>
      </w:pPr>
      <w:r w:rsidRPr="0043445D">
        <w:rPr>
          <w:rFonts w:ascii="GHEA Grapalat" w:hAnsi="GHEA Grapalat"/>
          <w:sz w:val="24"/>
          <w:szCs w:val="24"/>
          <w:lang w:val="hy-AM"/>
        </w:rPr>
        <w:lastRenderedPageBreak/>
        <w:t xml:space="preserve">Միաժամանակ, </w:t>
      </w:r>
      <w:r w:rsidR="00EC77E8" w:rsidRPr="0043445D">
        <w:rPr>
          <w:rFonts w:ascii="GHEA Grapalat" w:hAnsi="GHEA Grapalat"/>
          <w:sz w:val="24"/>
          <w:szCs w:val="24"/>
          <w:lang w:val="hy-AM"/>
        </w:rPr>
        <w:t xml:space="preserve">ՀՀ քրեական դատավարության օրենսգրքի 406-րդ հոդվածի 1-ին մասի 1-ին կետի համաձայն՝ վճռաբեկ բողոք բերելու հիմքերից է նաև դատական սխալը՝ նյութական կամ դատավարական իրավունքի այնպիսի խախտումը, որը կարող էր ազդել գործի ելքի վրա: </w:t>
      </w:r>
      <w:r w:rsidR="001143C7" w:rsidRPr="0043445D">
        <w:rPr>
          <w:rFonts w:ascii="GHEA Grapalat" w:hAnsi="GHEA Grapalat"/>
          <w:sz w:val="24"/>
          <w:szCs w:val="24"/>
          <w:lang w:val="hy-AM"/>
        </w:rPr>
        <w:t xml:space="preserve">Ավելին, ՀՀ քրեական դատավարության օրենսգրքի 421-րդ հոդվածի 2-րդ մասի համաձայն՝ </w:t>
      </w:r>
      <w:r w:rsidR="001143C7" w:rsidRPr="0043445D">
        <w:rPr>
          <w:rFonts w:ascii="GHEA Grapalat" w:eastAsia="Times New Roman" w:hAnsi="GHEA Grapalat" w:cs="Times New Roman"/>
          <w:color w:val="000000"/>
          <w:sz w:val="24"/>
          <w:szCs w:val="24"/>
          <w:lang w:val="hy-AM"/>
        </w:rPr>
        <w:t>օրենսգրքի 21-րդ հոդվածի վեցերորդ մասով</w:t>
      </w:r>
      <w:r w:rsidR="001143C7" w:rsidRPr="0043445D">
        <w:rPr>
          <w:rStyle w:val="FootnoteReference"/>
          <w:rFonts w:ascii="GHEA Grapalat" w:eastAsia="Times New Roman" w:hAnsi="GHEA Grapalat" w:cs="Times New Roman"/>
          <w:color w:val="000000"/>
          <w:sz w:val="24"/>
          <w:szCs w:val="24"/>
          <w:lang w:val="hy-AM"/>
        </w:rPr>
        <w:footnoteReference w:id="3"/>
      </w:r>
      <w:r w:rsidR="001143C7" w:rsidRPr="0043445D">
        <w:rPr>
          <w:rFonts w:ascii="GHEA Grapalat" w:eastAsia="Times New Roman" w:hAnsi="GHEA Grapalat" w:cs="Times New Roman"/>
          <w:color w:val="000000"/>
          <w:sz w:val="24"/>
          <w:szCs w:val="24"/>
          <w:lang w:val="hy-AM"/>
        </w:rPr>
        <w:t xml:space="preserve"> սահմանված դեպքերում անձի վիճակի բարելավման հիմքով վճռաբեկ բողոք կարող է բերվել առանց ժամկետի սահմանափակման, իսկ անձի վիճակի վատթարացման հիմքով` դատական ակտի օրինական ուժի մեջ մտնելու պահից վեցամսյա ժամկետում: Ըստ այդմ, </w:t>
      </w:r>
      <w:r w:rsidR="00EC77E8" w:rsidRPr="0043445D">
        <w:rPr>
          <w:rFonts w:ascii="GHEA Grapalat" w:hAnsi="GHEA Grapalat"/>
          <w:sz w:val="24"/>
          <w:szCs w:val="24"/>
          <w:lang w:val="hy-AM"/>
        </w:rPr>
        <w:t>ՀՀ քրեական դատավարության օրենսգրքի իրավակարգավորումներից ակնհայտ է դառնում, որ ի տարբերություն հիմնարար խախտման հիմքով վերաքննիչ բողոք բերել</w:t>
      </w:r>
      <w:r w:rsidR="00A153C8" w:rsidRPr="0043445D">
        <w:rPr>
          <w:rFonts w:ascii="GHEA Grapalat" w:hAnsi="GHEA Grapalat"/>
          <w:sz w:val="24"/>
          <w:szCs w:val="24"/>
          <w:lang w:val="hy-AM"/>
        </w:rPr>
        <w:t>ո</w:t>
      </w:r>
      <w:r w:rsidR="00EC77E8" w:rsidRPr="0043445D">
        <w:rPr>
          <w:rFonts w:ascii="GHEA Grapalat" w:hAnsi="GHEA Grapalat"/>
          <w:sz w:val="24"/>
          <w:szCs w:val="24"/>
          <w:lang w:val="hy-AM"/>
        </w:rPr>
        <w:t xml:space="preserve">ւ հիմքով օրենքով սահմանված վեցամսյա ժամկետի՝ նույն հիմքով վճռաբեկ բողոք բերելը որևէ </w:t>
      </w:r>
      <w:r w:rsidR="00E93A08" w:rsidRPr="0043445D">
        <w:rPr>
          <w:rFonts w:ascii="GHEA Grapalat" w:hAnsi="GHEA Grapalat"/>
          <w:sz w:val="24"/>
          <w:szCs w:val="24"/>
          <w:lang w:val="hy-AM"/>
        </w:rPr>
        <w:t xml:space="preserve">ժամկետով </w:t>
      </w:r>
      <w:r w:rsidR="00EC77E8" w:rsidRPr="0043445D">
        <w:rPr>
          <w:rFonts w:ascii="GHEA Grapalat" w:hAnsi="GHEA Grapalat"/>
          <w:sz w:val="24"/>
          <w:szCs w:val="24"/>
          <w:lang w:val="hy-AM"/>
        </w:rPr>
        <w:t>սահմանափակված չէ, եթե այն ուղղված է անձի վիճակի բարելավմանը:</w:t>
      </w:r>
      <w:r w:rsidR="00E93A08" w:rsidRPr="0043445D">
        <w:rPr>
          <w:rFonts w:ascii="GHEA Grapalat" w:hAnsi="GHEA Grapalat"/>
          <w:sz w:val="24"/>
          <w:szCs w:val="24"/>
          <w:lang w:val="hy-AM"/>
        </w:rPr>
        <w:t xml:space="preserve"> </w:t>
      </w:r>
    </w:p>
    <w:p w14:paraId="78DE2B6E" w14:textId="3EB64AE4" w:rsidR="00EC77E8" w:rsidRPr="0043445D" w:rsidRDefault="00EC77E8" w:rsidP="0043445D">
      <w:pPr>
        <w:shd w:val="clear" w:color="auto" w:fill="FFFFFF"/>
        <w:tabs>
          <w:tab w:val="left" w:pos="450"/>
        </w:tabs>
        <w:spacing w:after="0" w:line="360" w:lineRule="auto"/>
        <w:ind w:right="180" w:firstLine="720"/>
        <w:jc w:val="both"/>
        <w:rPr>
          <w:rFonts w:ascii="GHEA Grapalat" w:hAnsi="GHEA Grapalat"/>
          <w:sz w:val="24"/>
          <w:szCs w:val="24"/>
          <w:lang w:val="hy-AM"/>
        </w:rPr>
      </w:pPr>
      <w:r w:rsidRPr="0043445D">
        <w:rPr>
          <w:rFonts w:ascii="GHEA Grapalat" w:hAnsi="GHEA Grapalat"/>
          <w:sz w:val="24"/>
          <w:szCs w:val="24"/>
          <w:lang w:val="hy-AM"/>
        </w:rPr>
        <w:t>Օրենսդր</w:t>
      </w:r>
      <w:r w:rsidR="00AC5DD7" w:rsidRPr="0043445D">
        <w:rPr>
          <w:rFonts w:ascii="GHEA Grapalat" w:hAnsi="GHEA Grapalat"/>
          <w:sz w:val="24"/>
          <w:szCs w:val="24"/>
          <w:lang w:val="hy-AM"/>
        </w:rPr>
        <w:t>ությամբ</w:t>
      </w:r>
      <w:r w:rsidRPr="0043445D">
        <w:rPr>
          <w:rFonts w:ascii="GHEA Grapalat" w:hAnsi="GHEA Grapalat"/>
          <w:sz w:val="24"/>
          <w:szCs w:val="24"/>
          <w:lang w:val="hy-AM"/>
        </w:rPr>
        <w:t xml:space="preserve"> սահմանված նման </w:t>
      </w:r>
      <w:r w:rsidR="00A153C8" w:rsidRPr="0043445D">
        <w:rPr>
          <w:rFonts w:ascii="GHEA Grapalat" w:hAnsi="GHEA Grapalat"/>
          <w:sz w:val="24"/>
          <w:szCs w:val="24"/>
          <w:lang w:val="hy-AM"/>
        </w:rPr>
        <w:t>տարբերակված կարգավորումները</w:t>
      </w:r>
      <w:r w:rsidR="00B019E2">
        <w:rPr>
          <w:rFonts w:ascii="GHEA Grapalat" w:hAnsi="GHEA Grapalat"/>
          <w:sz w:val="24"/>
          <w:szCs w:val="24"/>
          <w:lang w:val="hy-AM"/>
        </w:rPr>
        <w:t>,</w:t>
      </w:r>
      <w:r w:rsidR="00A153C8" w:rsidRPr="0043445D">
        <w:rPr>
          <w:rFonts w:ascii="GHEA Grapalat" w:hAnsi="GHEA Grapalat"/>
          <w:sz w:val="24"/>
          <w:szCs w:val="24"/>
          <w:lang w:val="hy-AM"/>
        </w:rPr>
        <w:t xml:space="preserve"> սակայն</w:t>
      </w:r>
      <w:r w:rsidR="00B019E2">
        <w:rPr>
          <w:rFonts w:ascii="GHEA Grapalat" w:hAnsi="GHEA Grapalat"/>
          <w:sz w:val="24"/>
          <w:szCs w:val="24"/>
          <w:lang w:val="hy-AM"/>
        </w:rPr>
        <w:t>,</w:t>
      </w:r>
      <w:r w:rsidR="00A153C8" w:rsidRPr="0043445D">
        <w:rPr>
          <w:rFonts w:ascii="GHEA Grapalat" w:hAnsi="GHEA Grapalat"/>
          <w:sz w:val="24"/>
          <w:szCs w:val="24"/>
          <w:lang w:val="hy-AM"/>
        </w:rPr>
        <w:t xml:space="preserve"> անհավասար իրավիճակ են ստեղծում</w:t>
      </w:r>
      <w:r w:rsidR="008F1674" w:rsidRPr="0043445D">
        <w:rPr>
          <w:rFonts w:ascii="GHEA Grapalat" w:hAnsi="GHEA Grapalat"/>
          <w:sz w:val="24"/>
          <w:szCs w:val="24"/>
          <w:lang w:val="hy-AM"/>
        </w:rPr>
        <w:t>: Ս</w:t>
      </w:r>
      <w:r w:rsidR="00A153C8" w:rsidRPr="0043445D">
        <w:rPr>
          <w:rFonts w:ascii="GHEA Grapalat" w:hAnsi="GHEA Grapalat"/>
          <w:sz w:val="24"/>
          <w:szCs w:val="24"/>
          <w:lang w:val="hy-AM"/>
        </w:rPr>
        <w:t>տացվում է, որ անձ</w:t>
      </w:r>
      <w:r w:rsidR="00B019E2">
        <w:rPr>
          <w:rFonts w:ascii="GHEA Grapalat" w:hAnsi="GHEA Grapalat"/>
          <w:sz w:val="24"/>
          <w:szCs w:val="24"/>
          <w:lang w:val="hy-AM"/>
        </w:rPr>
        <w:t>ն</w:t>
      </w:r>
      <w:r w:rsidR="006A7422" w:rsidRPr="0043445D">
        <w:rPr>
          <w:rFonts w:ascii="GHEA Grapalat" w:hAnsi="GHEA Grapalat"/>
          <w:sz w:val="24"/>
          <w:szCs w:val="24"/>
          <w:lang w:val="hy-AM"/>
        </w:rPr>
        <w:t xml:space="preserve"> ում նկատմամբ վերաքննիչ դատական ակտ է կայացվել, կարող է վճռաբեկ բողոք </w:t>
      </w:r>
      <w:r w:rsidR="00647AF8" w:rsidRPr="0043445D">
        <w:rPr>
          <w:rFonts w:ascii="GHEA Grapalat" w:hAnsi="GHEA Grapalat"/>
          <w:sz w:val="24"/>
          <w:szCs w:val="24"/>
          <w:lang w:val="hy-AM"/>
        </w:rPr>
        <w:t xml:space="preserve">ներկայացնել </w:t>
      </w:r>
      <w:r w:rsidR="006A7422" w:rsidRPr="0043445D">
        <w:rPr>
          <w:rFonts w:ascii="GHEA Grapalat" w:hAnsi="GHEA Grapalat"/>
          <w:sz w:val="24"/>
          <w:szCs w:val="24"/>
          <w:lang w:val="hy-AM"/>
        </w:rPr>
        <w:t>դատական սխալ</w:t>
      </w:r>
      <w:r w:rsidR="00647AF8" w:rsidRPr="0043445D">
        <w:rPr>
          <w:rFonts w:ascii="GHEA Grapalat" w:hAnsi="GHEA Grapalat"/>
          <w:sz w:val="24"/>
          <w:szCs w:val="24"/>
          <w:lang w:val="hy-AM"/>
        </w:rPr>
        <w:t>ի</w:t>
      </w:r>
      <w:r w:rsidR="006A7422" w:rsidRPr="0043445D">
        <w:rPr>
          <w:rFonts w:ascii="GHEA Grapalat" w:hAnsi="GHEA Grapalat"/>
          <w:sz w:val="24"/>
          <w:szCs w:val="24"/>
          <w:lang w:val="hy-AM"/>
        </w:rPr>
        <w:t>՝ նյութական կամ դատավարական իրավունքի այնպիսի խախտ</w:t>
      </w:r>
      <w:r w:rsidR="00647AF8" w:rsidRPr="0043445D">
        <w:rPr>
          <w:rFonts w:ascii="GHEA Grapalat" w:hAnsi="GHEA Grapalat"/>
          <w:sz w:val="24"/>
          <w:szCs w:val="24"/>
          <w:lang w:val="hy-AM"/>
        </w:rPr>
        <w:t>ման պարագայում</w:t>
      </w:r>
      <w:r w:rsidR="006A7422" w:rsidRPr="0043445D">
        <w:rPr>
          <w:rFonts w:ascii="GHEA Grapalat" w:hAnsi="GHEA Grapalat"/>
          <w:sz w:val="24"/>
          <w:szCs w:val="24"/>
          <w:lang w:val="hy-AM"/>
        </w:rPr>
        <w:t>, որը կարող էր ազդել գործի ելքի վրա</w:t>
      </w:r>
      <w:r w:rsidR="007F6369">
        <w:rPr>
          <w:rFonts w:ascii="GHEA Grapalat" w:hAnsi="GHEA Grapalat"/>
          <w:sz w:val="24"/>
          <w:szCs w:val="24"/>
          <w:lang w:val="hy-AM"/>
        </w:rPr>
        <w:t>՝</w:t>
      </w:r>
      <w:r w:rsidR="00647AF8" w:rsidRPr="0043445D">
        <w:rPr>
          <w:rFonts w:ascii="GHEA Grapalat" w:hAnsi="GHEA Grapalat"/>
          <w:sz w:val="24"/>
          <w:szCs w:val="24"/>
          <w:lang w:val="hy-AM"/>
        </w:rPr>
        <w:t xml:space="preserve"> առանց որևէ ժամանակային սահմանափակման, իսկ նույնանման պարագայում </w:t>
      </w:r>
      <w:r w:rsidR="005D6D9C" w:rsidRPr="0043445D">
        <w:rPr>
          <w:rFonts w:ascii="GHEA Grapalat" w:hAnsi="GHEA Grapalat"/>
          <w:sz w:val="24"/>
          <w:szCs w:val="24"/>
          <w:lang w:val="hy-AM"/>
        </w:rPr>
        <w:t xml:space="preserve">վերաքննիչ բողոք </w:t>
      </w:r>
      <w:r w:rsidR="007F6369">
        <w:rPr>
          <w:rFonts w:ascii="GHEA Grapalat" w:hAnsi="GHEA Grapalat"/>
          <w:sz w:val="24"/>
          <w:szCs w:val="24"/>
          <w:lang w:val="hy-AM"/>
        </w:rPr>
        <w:t>ներկայացնելը</w:t>
      </w:r>
      <w:r w:rsidR="005D6D9C" w:rsidRPr="0043445D">
        <w:rPr>
          <w:rFonts w:ascii="GHEA Grapalat" w:hAnsi="GHEA Grapalat"/>
          <w:sz w:val="24"/>
          <w:szCs w:val="24"/>
          <w:lang w:val="hy-AM"/>
        </w:rPr>
        <w:t xml:space="preserve"> սահմանափակված է վեցամսյա ժամկետով:</w:t>
      </w:r>
      <w:r w:rsidR="00647AF8" w:rsidRPr="0043445D">
        <w:rPr>
          <w:rFonts w:ascii="GHEA Grapalat" w:hAnsi="GHEA Grapalat"/>
          <w:sz w:val="24"/>
          <w:szCs w:val="24"/>
          <w:lang w:val="hy-AM"/>
        </w:rPr>
        <w:t xml:space="preserve"> </w:t>
      </w:r>
    </w:p>
    <w:p w14:paraId="0DB8048C" w14:textId="7B624D0E" w:rsidR="005D6D9C" w:rsidRPr="0043445D" w:rsidRDefault="005D6D9C" w:rsidP="0043445D">
      <w:pPr>
        <w:pStyle w:val="NormalWeb"/>
        <w:shd w:val="clear" w:color="auto" w:fill="FFFFFF"/>
        <w:spacing w:before="0" w:beforeAutospacing="0" w:after="0" w:afterAutospacing="0" w:line="360" w:lineRule="auto"/>
        <w:ind w:firstLine="720"/>
        <w:jc w:val="both"/>
        <w:rPr>
          <w:rFonts w:ascii="GHEA Grapalat" w:hAnsi="GHEA Grapalat"/>
          <w:color w:val="000000"/>
          <w:sz w:val="24"/>
          <w:szCs w:val="24"/>
          <w:shd w:val="clear" w:color="auto" w:fill="FFFFFF"/>
          <w:lang w:val="hy-AM"/>
        </w:rPr>
      </w:pPr>
      <w:r w:rsidRPr="0043445D">
        <w:rPr>
          <w:rFonts w:ascii="GHEA Grapalat" w:hAnsi="GHEA Grapalat"/>
          <w:color w:val="000000"/>
          <w:sz w:val="24"/>
          <w:szCs w:val="24"/>
          <w:shd w:val="clear" w:color="auto" w:fill="FFFFFF"/>
          <w:lang w:val="hy-AM"/>
        </w:rPr>
        <w:t xml:space="preserve">ՀՀ քրեական </w:t>
      </w:r>
      <w:r w:rsidR="008F1674" w:rsidRPr="0043445D">
        <w:rPr>
          <w:rFonts w:ascii="GHEA Grapalat" w:hAnsi="GHEA Grapalat"/>
          <w:color w:val="000000"/>
          <w:sz w:val="24"/>
          <w:szCs w:val="24"/>
          <w:shd w:val="clear" w:color="auto" w:fill="FFFFFF"/>
          <w:lang w:val="hy-AM"/>
        </w:rPr>
        <w:t xml:space="preserve">դատավարության </w:t>
      </w:r>
      <w:r w:rsidRPr="0043445D">
        <w:rPr>
          <w:rFonts w:ascii="GHEA Grapalat" w:hAnsi="GHEA Grapalat"/>
          <w:color w:val="000000"/>
          <w:sz w:val="24"/>
          <w:szCs w:val="24"/>
          <w:shd w:val="clear" w:color="auto" w:fill="FFFFFF"/>
          <w:lang w:val="hy-AM"/>
        </w:rPr>
        <w:t>օրենսգրքի նշյալ դրույթ</w:t>
      </w:r>
      <w:r w:rsidR="00907146" w:rsidRPr="0043445D">
        <w:rPr>
          <w:rFonts w:ascii="GHEA Grapalat" w:hAnsi="GHEA Grapalat"/>
          <w:color w:val="000000"/>
          <w:sz w:val="24"/>
          <w:szCs w:val="24"/>
          <w:shd w:val="clear" w:color="auto" w:fill="FFFFFF"/>
          <w:lang w:val="hy-AM"/>
        </w:rPr>
        <w:t xml:space="preserve">ն անհրաժեշտ է քննարկել </w:t>
      </w:r>
      <w:r w:rsidRPr="0043445D">
        <w:rPr>
          <w:rFonts w:ascii="GHEA Grapalat" w:hAnsi="GHEA Grapalat"/>
          <w:color w:val="000000"/>
          <w:sz w:val="24"/>
          <w:szCs w:val="24"/>
          <w:shd w:val="clear" w:color="auto" w:fill="FFFFFF"/>
          <w:lang w:val="hy-AM"/>
        </w:rPr>
        <w:t xml:space="preserve"> ՀՀ </w:t>
      </w:r>
      <w:r w:rsidR="00B019E2">
        <w:rPr>
          <w:rFonts w:ascii="GHEA Grapalat" w:hAnsi="GHEA Grapalat"/>
          <w:color w:val="000000"/>
          <w:sz w:val="24"/>
          <w:szCs w:val="24"/>
          <w:shd w:val="clear" w:color="auto" w:fill="FFFFFF"/>
          <w:lang w:val="hy-AM"/>
        </w:rPr>
        <w:t>Սահ</w:t>
      </w:r>
      <w:r w:rsidRPr="0043445D">
        <w:rPr>
          <w:rFonts w:ascii="GHEA Grapalat" w:hAnsi="GHEA Grapalat"/>
          <w:color w:val="000000"/>
          <w:sz w:val="24"/>
          <w:szCs w:val="24"/>
          <w:shd w:val="clear" w:color="auto" w:fill="FFFFFF"/>
          <w:lang w:val="hy-AM"/>
        </w:rPr>
        <w:t xml:space="preserve">մանադրության </w:t>
      </w:r>
      <w:r w:rsidR="0021173B" w:rsidRPr="0043445D">
        <w:rPr>
          <w:rFonts w:ascii="GHEA Grapalat" w:hAnsi="GHEA Grapalat"/>
          <w:color w:val="000000"/>
          <w:sz w:val="24"/>
          <w:szCs w:val="24"/>
          <w:shd w:val="clear" w:color="auto" w:fill="FFFFFF"/>
          <w:lang w:val="hy-AM"/>
        </w:rPr>
        <w:t xml:space="preserve">61-րդ հոդվածով ամրագրված դատական պաշտպանության, </w:t>
      </w:r>
      <w:r w:rsidRPr="0043445D">
        <w:rPr>
          <w:rFonts w:ascii="GHEA Grapalat" w:hAnsi="GHEA Grapalat"/>
          <w:color w:val="000000"/>
          <w:sz w:val="24"/>
          <w:szCs w:val="24"/>
          <w:shd w:val="clear" w:color="auto" w:fill="FFFFFF"/>
          <w:lang w:val="hy-AM"/>
        </w:rPr>
        <w:t>63-րդ հոդվածով նախատեսված արդար դատաքննության իրավունք</w:t>
      </w:r>
      <w:r w:rsidR="0021173B" w:rsidRPr="0043445D">
        <w:rPr>
          <w:rFonts w:ascii="GHEA Grapalat" w:hAnsi="GHEA Grapalat"/>
          <w:color w:val="000000"/>
          <w:sz w:val="24"/>
          <w:szCs w:val="24"/>
          <w:shd w:val="clear" w:color="auto" w:fill="FFFFFF"/>
          <w:lang w:val="hy-AM"/>
        </w:rPr>
        <w:t>ներ</w:t>
      </w:r>
      <w:r w:rsidRPr="0043445D">
        <w:rPr>
          <w:rFonts w:ascii="GHEA Grapalat" w:hAnsi="GHEA Grapalat"/>
          <w:color w:val="000000"/>
          <w:sz w:val="24"/>
          <w:szCs w:val="24"/>
          <w:shd w:val="clear" w:color="auto" w:fill="FFFFFF"/>
          <w:lang w:val="hy-AM"/>
        </w:rPr>
        <w:t xml:space="preserve">ի </w:t>
      </w:r>
      <w:r w:rsidR="0021173B" w:rsidRPr="0043445D">
        <w:rPr>
          <w:rFonts w:ascii="GHEA Grapalat" w:hAnsi="GHEA Grapalat"/>
          <w:color w:val="000000"/>
          <w:sz w:val="24"/>
          <w:szCs w:val="24"/>
          <w:shd w:val="clear" w:color="auto" w:fill="FFFFFF"/>
          <w:lang w:val="hy-AM"/>
        </w:rPr>
        <w:t xml:space="preserve">և դրանց սահմանափակման </w:t>
      </w:r>
      <w:r w:rsidR="00907146" w:rsidRPr="0043445D">
        <w:rPr>
          <w:rFonts w:ascii="GHEA Grapalat" w:hAnsi="GHEA Grapalat"/>
          <w:color w:val="000000"/>
          <w:sz w:val="24"/>
          <w:szCs w:val="24"/>
          <w:shd w:val="clear" w:color="auto" w:fill="FFFFFF"/>
          <w:lang w:val="hy-AM"/>
        </w:rPr>
        <w:t>տեսանկյունից</w:t>
      </w:r>
      <w:r w:rsidRPr="0043445D">
        <w:rPr>
          <w:rFonts w:ascii="GHEA Grapalat" w:hAnsi="GHEA Grapalat"/>
          <w:color w:val="000000"/>
          <w:sz w:val="24"/>
          <w:szCs w:val="24"/>
          <w:shd w:val="clear" w:color="auto" w:fill="FFFFFF"/>
          <w:lang w:val="hy-AM"/>
        </w:rPr>
        <w:t xml:space="preserve">: </w:t>
      </w:r>
    </w:p>
    <w:p w14:paraId="53928FA8" w14:textId="1E84E023" w:rsidR="0021173B" w:rsidRPr="0043445D" w:rsidRDefault="0021173B" w:rsidP="0043445D">
      <w:pPr>
        <w:pStyle w:val="NormalWeb"/>
        <w:shd w:val="clear" w:color="auto" w:fill="FFFFFF"/>
        <w:spacing w:before="0" w:beforeAutospacing="0" w:after="0" w:afterAutospacing="0" w:line="360" w:lineRule="auto"/>
        <w:ind w:firstLine="720"/>
        <w:jc w:val="both"/>
        <w:rPr>
          <w:rFonts w:ascii="GHEA Grapalat" w:hAnsi="GHEA Grapalat"/>
          <w:color w:val="000000"/>
          <w:sz w:val="24"/>
          <w:szCs w:val="24"/>
          <w:shd w:val="clear" w:color="auto" w:fill="FFFFFF"/>
          <w:lang w:val="hy-AM"/>
        </w:rPr>
      </w:pPr>
      <w:r w:rsidRPr="0043445D">
        <w:rPr>
          <w:rFonts w:ascii="GHEA Grapalat" w:hAnsi="GHEA Grapalat"/>
          <w:color w:val="000000"/>
          <w:sz w:val="24"/>
          <w:szCs w:val="24"/>
          <w:shd w:val="clear" w:color="auto" w:fill="FFFFFF"/>
          <w:lang w:val="hy-AM"/>
        </w:rPr>
        <w:lastRenderedPageBreak/>
        <w:t>Մասնավորապես</w:t>
      </w:r>
      <w:r w:rsidR="00A8472B" w:rsidRPr="0043445D">
        <w:rPr>
          <w:rFonts w:ascii="GHEA Grapalat" w:hAnsi="GHEA Grapalat"/>
          <w:color w:val="000000"/>
          <w:sz w:val="24"/>
          <w:szCs w:val="24"/>
          <w:shd w:val="clear" w:color="auto" w:fill="FFFFFF"/>
          <w:lang w:val="hy-AM"/>
        </w:rPr>
        <w:t>,</w:t>
      </w:r>
      <w:r w:rsidRPr="0043445D">
        <w:rPr>
          <w:rFonts w:ascii="GHEA Grapalat" w:hAnsi="GHEA Grapalat"/>
          <w:color w:val="000000"/>
          <w:sz w:val="24"/>
          <w:szCs w:val="24"/>
          <w:shd w:val="clear" w:color="auto" w:fill="FFFFFF"/>
          <w:lang w:val="hy-AM"/>
        </w:rPr>
        <w:t xml:space="preserve"> </w:t>
      </w:r>
      <w:r w:rsidR="0043445D">
        <w:rPr>
          <w:rFonts w:ascii="GHEA Grapalat" w:hAnsi="GHEA Grapalat"/>
          <w:color w:val="000000"/>
          <w:sz w:val="24"/>
          <w:szCs w:val="24"/>
          <w:shd w:val="clear" w:color="auto" w:fill="FFFFFF"/>
          <w:lang w:val="hy-AM"/>
        </w:rPr>
        <w:t xml:space="preserve">ՀՀ Սահմանադրության 63-րդ </w:t>
      </w:r>
      <w:r w:rsidRPr="0043445D">
        <w:rPr>
          <w:rFonts w:ascii="GHEA Grapalat" w:hAnsi="GHEA Grapalat"/>
          <w:color w:val="000000"/>
          <w:sz w:val="24"/>
          <w:szCs w:val="24"/>
          <w:shd w:val="clear" w:color="auto" w:fill="FFFFFF"/>
          <w:lang w:val="hy-AM"/>
        </w:rPr>
        <w:t>հոդվածի համաձայն՝ յուրաքանչյուր ոք ունի անկախ և անաչառ դատարանի կողմից իր գործի արդարացի, հրապարակային և ողջամիտ ժամկետում քննության իրավունք:</w:t>
      </w:r>
    </w:p>
    <w:p w14:paraId="490BBE86" w14:textId="2772E789" w:rsidR="00DF45E9" w:rsidRPr="0043445D" w:rsidRDefault="00F834AC" w:rsidP="0043445D">
      <w:pPr>
        <w:shd w:val="clear" w:color="auto" w:fill="FFFFFF"/>
        <w:tabs>
          <w:tab w:val="left" w:pos="450"/>
        </w:tabs>
        <w:spacing w:after="0" w:line="360" w:lineRule="auto"/>
        <w:ind w:right="180" w:firstLine="720"/>
        <w:jc w:val="both"/>
        <w:rPr>
          <w:rFonts w:ascii="GHEA Grapalat" w:hAnsi="GHEA Grapalat"/>
          <w:sz w:val="24"/>
          <w:szCs w:val="24"/>
          <w:lang w:val="hy-AM"/>
        </w:rPr>
      </w:pPr>
      <w:r w:rsidRPr="0043445D">
        <w:rPr>
          <w:rFonts w:ascii="GHEA Grapalat" w:hAnsi="GHEA Grapalat"/>
          <w:color w:val="000000"/>
          <w:sz w:val="24"/>
          <w:szCs w:val="24"/>
          <w:shd w:val="clear" w:color="auto" w:fill="FFFFFF"/>
          <w:lang w:val="hy-AM"/>
        </w:rPr>
        <w:t>Դատական պաշտպանության իրավունքն ամրագրվա</w:t>
      </w:r>
      <w:r w:rsidR="005918EB" w:rsidRPr="0043445D">
        <w:rPr>
          <w:rFonts w:ascii="GHEA Grapalat" w:hAnsi="GHEA Grapalat"/>
          <w:color w:val="000000"/>
          <w:sz w:val="24"/>
          <w:szCs w:val="24"/>
          <w:shd w:val="clear" w:color="auto" w:fill="FFFFFF"/>
          <w:lang w:val="hy-AM"/>
        </w:rPr>
        <w:t>ծ</w:t>
      </w:r>
      <w:r w:rsidRPr="0043445D">
        <w:rPr>
          <w:rFonts w:ascii="GHEA Grapalat" w:hAnsi="GHEA Grapalat"/>
          <w:color w:val="000000"/>
          <w:sz w:val="24"/>
          <w:szCs w:val="24"/>
          <w:shd w:val="clear" w:color="auto" w:fill="FFFFFF"/>
          <w:lang w:val="hy-AM"/>
        </w:rPr>
        <w:t xml:space="preserve"> է նաև մի շարք հիմնարար միջազգային փաստաթղթերում: Մասնավորապես</w:t>
      </w:r>
      <w:r w:rsidR="00A8472B" w:rsidRPr="0043445D">
        <w:rPr>
          <w:rFonts w:ascii="GHEA Grapalat" w:hAnsi="GHEA Grapalat"/>
          <w:color w:val="000000"/>
          <w:sz w:val="24"/>
          <w:szCs w:val="24"/>
          <w:shd w:val="clear" w:color="auto" w:fill="FFFFFF"/>
          <w:lang w:val="hy-AM"/>
        </w:rPr>
        <w:t>,</w:t>
      </w:r>
      <w:r w:rsidRPr="0043445D">
        <w:rPr>
          <w:rFonts w:ascii="GHEA Grapalat" w:hAnsi="GHEA Grapalat"/>
          <w:color w:val="000000"/>
          <w:sz w:val="24"/>
          <w:szCs w:val="24"/>
          <w:shd w:val="clear" w:color="auto" w:fill="FFFFFF"/>
          <w:lang w:val="hy-AM"/>
        </w:rPr>
        <w:t xml:space="preserve"> այդ իրավունքն ամրագրված է Մարդու իրավունքների և հիմնարար ազատությունների պաշտպանության մասին կոնվենցիայի </w:t>
      </w:r>
      <w:r w:rsidR="007F6369">
        <w:rPr>
          <w:rFonts w:ascii="GHEA Grapalat" w:hAnsi="GHEA Grapalat"/>
          <w:color w:val="000000"/>
          <w:sz w:val="24"/>
          <w:szCs w:val="24"/>
          <w:shd w:val="clear" w:color="auto" w:fill="FFFFFF"/>
          <w:lang w:val="hy-AM"/>
        </w:rPr>
        <w:br/>
      </w:r>
      <w:r w:rsidRPr="0043445D">
        <w:rPr>
          <w:rFonts w:ascii="GHEA Grapalat" w:hAnsi="GHEA Grapalat"/>
          <w:color w:val="000000"/>
          <w:sz w:val="24"/>
          <w:szCs w:val="24"/>
          <w:shd w:val="clear" w:color="auto" w:fill="FFFFFF"/>
          <w:lang w:val="hy-AM"/>
        </w:rPr>
        <w:t>6-րդ հոդվածով: Ըստ այդմ</w:t>
      </w:r>
      <w:r w:rsidR="00A8472B" w:rsidRPr="0043445D">
        <w:rPr>
          <w:rFonts w:ascii="GHEA Grapalat" w:hAnsi="GHEA Grapalat"/>
          <w:color w:val="000000"/>
          <w:sz w:val="24"/>
          <w:szCs w:val="24"/>
          <w:shd w:val="clear" w:color="auto" w:fill="FFFFFF"/>
          <w:lang w:val="hy-AM"/>
        </w:rPr>
        <w:t>,</w:t>
      </w:r>
      <w:r w:rsidRPr="0043445D">
        <w:rPr>
          <w:rFonts w:ascii="GHEA Grapalat" w:hAnsi="GHEA Grapalat"/>
          <w:color w:val="000000"/>
          <w:sz w:val="24"/>
          <w:szCs w:val="24"/>
          <w:shd w:val="clear" w:color="auto" w:fill="FFFFFF"/>
          <w:lang w:val="hy-AM"/>
        </w:rPr>
        <w:t xml:space="preserve"> Մարդու իրավունքների եվրոպական դատարանը ձևավորել է հարուստ </w:t>
      </w:r>
      <w:r w:rsidRPr="00B2125E">
        <w:rPr>
          <w:rFonts w:ascii="GHEA Grapalat" w:hAnsi="GHEA Grapalat"/>
          <w:color w:val="000000"/>
          <w:sz w:val="24"/>
          <w:szCs w:val="24"/>
          <w:shd w:val="clear" w:color="auto" w:fill="FFFFFF"/>
          <w:lang w:val="hy-AM"/>
        </w:rPr>
        <w:t xml:space="preserve">նախադեպային </w:t>
      </w:r>
      <w:r w:rsidR="00A8472B" w:rsidRPr="00B2125E">
        <w:rPr>
          <w:rFonts w:ascii="GHEA Grapalat" w:hAnsi="GHEA Grapalat"/>
          <w:color w:val="000000"/>
          <w:sz w:val="24"/>
          <w:szCs w:val="24"/>
          <w:shd w:val="clear" w:color="auto" w:fill="FFFFFF"/>
          <w:lang w:val="hy-AM"/>
        </w:rPr>
        <w:t xml:space="preserve">իրավունք </w:t>
      </w:r>
      <w:r w:rsidRPr="0043445D">
        <w:rPr>
          <w:rFonts w:ascii="GHEA Grapalat" w:hAnsi="GHEA Grapalat"/>
          <w:color w:val="000000"/>
          <w:sz w:val="24"/>
          <w:szCs w:val="24"/>
          <w:shd w:val="clear" w:color="auto" w:fill="FFFFFF"/>
          <w:lang w:val="hy-AM"/>
        </w:rPr>
        <w:t xml:space="preserve">այս իրավունքի իրացման չափանիշների վերաբերյալ: </w:t>
      </w:r>
      <w:r w:rsidR="001F50BC" w:rsidRPr="0043445D">
        <w:rPr>
          <w:rFonts w:ascii="GHEA Grapalat" w:hAnsi="GHEA Grapalat"/>
          <w:color w:val="000000"/>
          <w:sz w:val="24"/>
          <w:szCs w:val="24"/>
          <w:shd w:val="clear" w:color="auto" w:fill="FFFFFF"/>
          <w:lang w:val="hy-AM"/>
        </w:rPr>
        <w:t>Նախևառաջ</w:t>
      </w:r>
      <w:r w:rsidR="007F6369">
        <w:rPr>
          <w:rFonts w:ascii="GHEA Grapalat" w:hAnsi="GHEA Grapalat"/>
          <w:color w:val="000000"/>
          <w:sz w:val="24"/>
          <w:szCs w:val="24"/>
          <w:shd w:val="clear" w:color="auto" w:fill="FFFFFF"/>
          <w:lang w:val="hy-AM"/>
        </w:rPr>
        <w:t>,</w:t>
      </w:r>
      <w:r w:rsidR="001F50BC" w:rsidRPr="0043445D">
        <w:rPr>
          <w:rFonts w:ascii="GHEA Grapalat" w:hAnsi="GHEA Grapalat"/>
          <w:color w:val="000000"/>
          <w:sz w:val="24"/>
          <w:szCs w:val="24"/>
          <w:shd w:val="clear" w:color="auto" w:fill="FFFFFF"/>
          <w:lang w:val="hy-AM"/>
        </w:rPr>
        <w:t xml:space="preserve"> Եվրոպական դատարանն իր մի շարք որոշումներում ամրագրել է, որ այս իրավունքը բացարձակ չէ և ենթակա է որոշակի </w:t>
      </w:r>
      <w:r w:rsidR="003D062C" w:rsidRPr="0043445D">
        <w:rPr>
          <w:rFonts w:ascii="GHEA Grapalat" w:hAnsi="GHEA Grapalat"/>
          <w:color w:val="000000"/>
          <w:sz w:val="24"/>
          <w:szCs w:val="24"/>
          <w:shd w:val="clear" w:color="auto" w:fill="FFFFFF"/>
          <w:lang w:val="hy-AM"/>
        </w:rPr>
        <w:t xml:space="preserve">իրավաչափ </w:t>
      </w:r>
      <w:r w:rsidR="001F50BC" w:rsidRPr="0043445D">
        <w:rPr>
          <w:rFonts w:ascii="GHEA Grapalat" w:hAnsi="GHEA Grapalat"/>
          <w:color w:val="000000"/>
          <w:sz w:val="24"/>
          <w:szCs w:val="24"/>
          <w:shd w:val="clear" w:color="auto" w:fill="FFFFFF"/>
          <w:lang w:val="hy-AM"/>
        </w:rPr>
        <w:t>սահմանափակումների</w:t>
      </w:r>
      <w:r w:rsidR="00177121" w:rsidRPr="0043445D">
        <w:rPr>
          <w:rStyle w:val="FootnoteReference"/>
          <w:rFonts w:ascii="GHEA Grapalat" w:hAnsi="GHEA Grapalat"/>
          <w:color w:val="000000"/>
          <w:sz w:val="24"/>
          <w:szCs w:val="24"/>
          <w:shd w:val="clear" w:color="auto" w:fill="FFFFFF"/>
          <w:lang w:val="hy-AM"/>
        </w:rPr>
        <w:footnoteReference w:id="4"/>
      </w:r>
      <w:r w:rsidR="001F50BC" w:rsidRPr="0043445D">
        <w:rPr>
          <w:rFonts w:ascii="GHEA Grapalat" w:hAnsi="GHEA Grapalat"/>
          <w:color w:val="000000"/>
          <w:sz w:val="24"/>
          <w:szCs w:val="24"/>
          <w:shd w:val="clear" w:color="auto" w:fill="FFFFFF"/>
          <w:lang w:val="hy-AM"/>
        </w:rPr>
        <w:t xml:space="preserve">: </w:t>
      </w:r>
      <w:r w:rsidR="00DF45E9" w:rsidRPr="0043445D">
        <w:rPr>
          <w:rFonts w:ascii="GHEA Grapalat" w:hAnsi="GHEA Grapalat"/>
          <w:sz w:val="24"/>
          <w:szCs w:val="24"/>
          <w:lang w:val="hy-AM"/>
        </w:rPr>
        <w:t>Այդպիսի սահմանափակումներ կարող են լինել</w:t>
      </w:r>
      <w:r w:rsidR="007F6369">
        <w:rPr>
          <w:rFonts w:ascii="GHEA Grapalat" w:hAnsi="GHEA Grapalat"/>
          <w:sz w:val="24"/>
          <w:szCs w:val="24"/>
          <w:lang w:val="hy-AM"/>
        </w:rPr>
        <w:t>,</w:t>
      </w:r>
      <w:r w:rsidR="00DF45E9" w:rsidRPr="0043445D">
        <w:rPr>
          <w:rFonts w:ascii="GHEA Grapalat" w:hAnsi="GHEA Grapalat"/>
          <w:sz w:val="24"/>
          <w:szCs w:val="24"/>
          <w:lang w:val="hy-AM"/>
        </w:rPr>
        <w:t xml:space="preserve"> օրինակ</w:t>
      </w:r>
      <w:r w:rsidR="007F6369">
        <w:rPr>
          <w:rFonts w:ascii="GHEA Grapalat" w:hAnsi="GHEA Grapalat"/>
          <w:sz w:val="24"/>
          <w:szCs w:val="24"/>
          <w:lang w:val="hy-AM"/>
        </w:rPr>
        <w:t>,</w:t>
      </w:r>
      <w:r w:rsidR="00DF45E9" w:rsidRPr="0043445D">
        <w:rPr>
          <w:rFonts w:ascii="GHEA Grapalat" w:hAnsi="GHEA Grapalat"/>
          <w:sz w:val="24"/>
          <w:szCs w:val="24"/>
          <w:lang w:val="hy-AM"/>
        </w:rPr>
        <w:t xml:space="preserve"> վաղեմության ժամկետները</w:t>
      </w:r>
      <w:r w:rsidR="00DF45E9" w:rsidRPr="0043445D">
        <w:rPr>
          <w:rStyle w:val="FootnoteReference"/>
          <w:rFonts w:ascii="GHEA Grapalat" w:hAnsi="GHEA Grapalat"/>
          <w:sz w:val="24"/>
          <w:szCs w:val="24"/>
          <w:lang w:val="hy-AM"/>
        </w:rPr>
        <w:footnoteReference w:id="5"/>
      </w:r>
      <w:r w:rsidR="007F6369">
        <w:rPr>
          <w:rFonts w:ascii="GHEA Grapalat" w:hAnsi="GHEA Grapalat"/>
          <w:sz w:val="24"/>
          <w:szCs w:val="24"/>
          <w:lang w:val="hy-AM"/>
        </w:rPr>
        <w:t>,</w:t>
      </w:r>
      <w:r w:rsidR="003D062C" w:rsidRPr="0043445D">
        <w:rPr>
          <w:rFonts w:ascii="GHEA Grapalat" w:hAnsi="GHEA Grapalat"/>
          <w:sz w:val="24"/>
          <w:szCs w:val="24"/>
          <w:lang w:val="hy-AM"/>
        </w:rPr>
        <w:t xml:space="preserve"> դատական </w:t>
      </w:r>
      <w:r w:rsidR="007E0DAB" w:rsidRPr="0043445D">
        <w:rPr>
          <w:rFonts w:ascii="GHEA Grapalat" w:hAnsi="GHEA Grapalat"/>
          <w:sz w:val="24"/>
          <w:szCs w:val="24"/>
          <w:lang w:val="hy-AM"/>
        </w:rPr>
        <w:t>վճարների սահմանումը</w:t>
      </w:r>
      <w:r w:rsidR="007E0DAB" w:rsidRPr="0043445D">
        <w:rPr>
          <w:rStyle w:val="FootnoteReference"/>
          <w:rFonts w:ascii="GHEA Grapalat" w:hAnsi="GHEA Grapalat"/>
          <w:sz w:val="24"/>
          <w:szCs w:val="24"/>
          <w:lang w:val="hy-AM"/>
        </w:rPr>
        <w:footnoteReference w:id="6"/>
      </w:r>
      <w:r w:rsidR="007E0DAB" w:rsidRPr="0043445D">
        <w:rPr>
          <w:rFonts w:ascii="GHEA Grapalat" w:hAnsi="GHEA Grapalat"/>
          <w:sz w:val="24"/>
          <w:szCs w:val="24"/>
          <w:lang w:val="hy-AM"/>
        </w:rPr>
        <w:t>, դատական ներկայացուցչության</w:t>
      </w:r>
      <w:r w:rsidR="00E17883" w:rsidRPr="0043445D">
        <w:rPr>
          <w:rFonts w:ascii="GHEA Grapalat" w:hAnsi="GHEA Grapalat"/>
          <w:sz w:val="24"/>
          <w:szCs w:val="24"/>
          <w:lang w:val="hy-AM"/>
        </w:rPr>
        <w:t xml:space="preserve"> </w:t>
      </w:r>
      <w:r w:rsidR="003A3B7A">
        <w:rPr>
          <w:rFonts w:ascii="GHEA Grapalat" w:hAnsi="GHEA Grapalat"/>
          <w:sz w:val="24"/>
          <w:szCs w:val="24"/>
          <w:lang w:val="hy-AM"/>
        </w:rPr>
        <w:t>պահանջը</w:t>
      </w:r>
      <w:r w:rsidR="007E0DAB" w:rsidRPr="0043445D">
        <w:rPr>
          <w:rStyle w:val="FootnoteReference"/>
          <w:rFonts w:ascii="GHEA Grapalat" w:hAnsi="GHEA Grapalat"/>
          <w:sz w:val="24"/>
          <w:szCs w:val="24"/>
          <w:lang w:val="hy-AM"/>
        </w:rPr>
        <w:footnoteReference w:id="7"/>
      </w:r>
      <w:r w:rsidR="007E0DAB" w:rsidRPr="0043445D">
        <w:rPr>
          <w:rFonts w:ascii="GHEA Grapalat" w:hAnsi="GHEA Grapalat"/>
          <w:sz w:val="24"/>
          <w:szCs w:val="24"/>
          <w:lang w:val="hy-AM"/>
        </w:rPr>
        <w:t xml:space="preserve"> կամ</w:t>
      </w:r>
      <w:r w:rsidR="00E17883" w:rsidRPr="0043445D">
        <w:rPr>
          <w:rFonts w:ascii="GHEA Grapalat" w:hAnsi="GHEA Grapalat"/>
          <w:sz w:val="24"/>
          <w:szCs w:val="24"/>
          <w:lang w:val="hy-AM"/>
        </w:rPr>
        <w:t xml:space="preserve"> </w:t>
      </w:r>
      <w:r w:rsidR="007E0DAB" w:rsidRPr="0043445D">
        <w:rPr>
          <w:rFonts w:ascii="GHEA Grapalat" w:hAnsi="GHEA Grapalat"/>
          <w:sz w:val="24"/>
          <w:szCs w:val="24"/>
          <w:lang w:val="hy-AM"/>
        </w:rPr>
        <w:t xml:space="preserve">մինչև պետության դեմ վնասի հատուցման պահանջ ներկայացնելը վեճը հաշտության համաձայնությամբ լուծելու փորձի </w:t>
      </w:r>
      <w:r w:rsidR="003A3B7A">
        <w:rPr>
          <w:rFonts w:ascii="GHEA Grapalat" w:hAnsi="GHEA Grapalat"/>
          <w:sz w:val="24"/>
          <w:szCs w:val="24"/>
          <w:lang w:val="hy-AM"/>
        </w:rPr>
        <w:t>պահանջը</w:t>
      </w:r>
      <w:r w:rsidR="00E17883" w:rsidRPr="0043445D">
        <w:rPr>
          <w:rStyle w:val="FootnoteReference"/>
          <w:rFonts w:ascii="GHEA Grapalat" w:hAnsi="GHEA Grapalat"/>
          <w:sz w:val="24"/>
          <w:szCs w:val="24"/>
          <w:lang w:val="hy-AM"/>
        </w:rPr>
        <w:footnoteReference w:id="8"/>
      </w:r>
      <w:r w:rsidR="00DF45E9" w:rsidRPr="0043445D">
        <w:rPr>
          <w:rFonts w:ascii="GHEA Grapalat" w:hAnsi="GHEA Grapalat"/>
          <w:sz w:val="24"/>
          <w:szCs w:val="24"/>
          <w:lang w:val="hy-AM"/>
        </w:rPr>
        <w:t>:</w:t>
      </w:r>
      <w:r w:rsidR="00E17883" w:rsidRPr="0043445D">
        <w:rPr>
          <w:rFonts w:ascii="GHEA Grapalat" w:hAnsi="GHEA Grapalat"/>
          <w:sz w:val="24"/>
          <w:szCs w:val="24"/>
          <w:lang w:val="hy-AM"/>
        </w:rPr>
        <w:t xml:space="preserve"> Եվրոպական դատարանի նախադեպային</w:t>
      </w:r>
      <w:r w:rsidR="00AC5DD7" w:rsidRPr="0043445D">
        <w:rPr>
          <w:rFonts w:ascii="GHEA Grapalat" w:hAnsi="GHEA Grapalat"/>
          <w:sz w:val="24"/>
          <w:szCs w:val="24"/>
          <w:lang w:val="hy-AM"/>
        </w:rPr>
        <w:t xml:space="preserve"> իրավուն</w:t>
      </w:r>
      <w:r w:rsidR="00B019E2">
        <w:rPr>
          <w:rFonts w:ascii="GHEA Grapalat" w:hAnsi="GHEA Grapalat"/>
          <w:sz w:val="24"/>
          <w:szCs w:val="24"/>
          <w:lang w:val="hy-AM"/>
        </w:rPr>
        <w:t>ք</w:t>
      </w:r>
      <w:r w:rsidR="00AC5DD7" w:rsidRPr="0043445D">
        <w:rPr>
          <w:rFonts w:ascii="GHEA Grapalat" w:hAnsi="GHEA Grapalat"/>
          <w:sz w:val="24"/>
          <w:szCs w:val="24"/>
          <w:lang w:val="hy-AM"/>
        </w:rPr>
        <w:t>ի համադիր ուսումնասիրությունից կարելի է ենթա</w:t>
      </w:r>
      <w:r w:rsidR="00B019E2">
        <w:rPr>
          <w:rFonts w:ascii="GHEA Grapalat" w:hAnsi="GHEA Grapalat"/>
          <w:sz w:val="24"/>
          <w:szCs w:val="24"/>
          <w:lang w:val="hy-AM"/>
        </w:rPr>
        <w:t>դ</w:t>
      </w:r>
      <w:r w:rsidR="00AC5DD7" w:rsidRPr="0043445D">
        <w:rPr>
          <w:rFonts w:ascii="GHEA Grapalat" w:hAnsi="GHEA Grapalat"/>
          <w:sz w:val="24"/>
          <w:szCs w:val="24"/>
          <w:lang w:val="hy-AM"/>
        </w:rPr>
        <w:t xml:space="preserve">րել, որ անձի արդար դատաքննության իրավունքը սահմանափակող ներկայիս ներպետական օրենսդրության խտրական սահմանափակումը նախադեպային իրավունքի վերոնշյալ դեպքերի շարքին չի կարող դասվել դրանց բնույթների տարբերակման պատճառով:   </w:t>
      </w:r>
    </w:p>
    <w:p w14:paraId="1BB1E6EC" w14:textId="2CCDB33B" w:rsidR="00DF45E9" w:rsidRPr="0043445D" w:rsidRDefault="00B20C8E" w:rsidP="0043445D">
      <w:pPr>
        <w:shd w:val="clear" w:color="auto" w:fill="FFFFFF"/>
        <w:tabs>
          <w:tab w:val="left" w:pos="450"/>
        </w:tabs>
        <w:spacing w:after="0" w:line="360" w:lineRule="auto"/>
        <w:ind w:right="180" w:firstLine="720"/>
        <w:jc w:val="both"/>
        <w:rPr>
          <w:rFonts w:ascii="GHEA Grapalat" w:hAnsi="GHEA Grapalat"/>
          <w:sz w:val="24"/>
          <w:szCs w:val="24"/>
          <w:lang w:val="hy-AM"/>
        </w:rPr>
      </w:pPr>
      <w:r w:rsidRPr="0043445D">
        <w:rPr>
          <w:rFonts w:ascii="GHEA Grapalat" w:hAnsi="GHEA Grapalat"/>
          <w:color w:val="000000"/>
          <w:sz w:val="24"/>
          <w:szCs w:val="24"/>
          <w:shd w:val="clear" w:color="auto" w:fill="FFFFFF"/>
          <w:lang w:val="hy-AM"/>
        </w:rPr>
        <w:lastRenderedPageBreak/>
        <w:t>Ավելին,</w:t>
      </w:r>
      <w:r w:rsidR="007F6369">
        <w:rPr>
          <w:rFonts w:ascii="GHEA Grapalat" w:hAnsi="GHEA Grapalat"/>
          <w:color w:val="000000"/>
          <w:sz w:val="24"/>
          <w:szCs w:val="24"/>
          <w:shd w:val="clear" w:color="auto" w:fill="FFFFFF"/>
          <w:lang w:val="hy-AM"/>
        </w:rPr>
        <w:t xml:space="preserve"> Եվրոպական</w:t>
      </w:r>
      <w:r w:rsidR="001F50BC" w:rsidRPr="0043445D">
        <w:rPr>
          <w:rFonts w:ascii="GHEA Grapalat" w:hAnsi="GHEA Grapalat"/>
          <w:color w:val="000000"/>
          <w:sz w:val="24"/>
          <w:szCs w:val="24"/>
          <w:shd w:val="clear" w:color="auto" w:fill="FFFFFF"/>
          <w:lang w:val="hy-AM"/>
        </w:rPr>
        <w:t xml:space="preserve"> դատարանը նշել է, որ այդ սահմանափակումները չպետք է նսեմացնեն ան</w:t>
      </w:r>
      <w:r w:rsidR="006F5AD8" w:rsidRPr="0043445D">
        <w:rPr>
          <w:rFonts w:ascii="GHEA Grapalat" w:hAnsi="GHEA Grapalat"/>
          <w:color w:val="000000"/>
          <w:sz w:val="24"/>
          <w:szCs w:val="24"/>
          <w:shd w:val="clear" w:color="auto" w:fill="FFFFFF"/>
          <w:lang w:val="hy-AM"/>
        </w:rPr>
        <w:t>ձի իրավունքն այն աստիճանի, որ խաթարեն այդ իրավունքի էությունը</w:t>
      </w:r>
      <w:r w:rsidR="006F5AD8" w:rsidRPr="0043445D">
        <w:rPr>
          <w:rStyle w:val="FootnoteReference"/>
          <w:rFonts w:ascii="GHEA Grapalat" w:hAnsi="GHEA Grapalat"/>
          <w:color w:val="000000"/>
          <w:sz w:val="24"/>
          <w:szCs w:val="24"/>
          <w:shd w:val="clear" w:color="auto" w:fill="FFFFFF"/>
          <w:lang w:val="hy-AM"/>
        </w:rPr>
        <w:footnoteReference w:id="9"/>
      </w:r>
      <w:r w:rsidR="006F5AD8" w:rsidRPr="0043445D">
        <w:rPr>
          <w:rFonts w:ascii="GHEA Grapalat" w:hAnsi="GHEA Grapalat"/>
          <w:color w:val="000000"/>
          <w:sz w:val="24"/>
          <w:szCs w:val="24"/>
          <w:shd w:val="clear" w:color="auto" w:fill="FFFFFF"/>
          <w:lang w:val="hy-AM"/>
        </w:rPr>
        <w:t>:</w:t>
      </w:r>
      <w:r w:rsidR="00DF45E9" w:rsidRPr="0043445D">
        <w:rPr>
          <w:rFonts w:ascii="GHEA Grapalat" w:hAnsi="GHEA Grapalat"/>
          <w:color w:val="000000"/>
          <w:sz w:val="24"/>
          <w:szCs w:val="24"/>
          <w:shd w:val="clear" w:color="auto" w:fill="FFFFFF"/>
          <w:lang w:val="hy-AM"/>
        </w:rPr>
        <w:t xml:space="preserve"> </w:t>
      </w:r>
      <w:r w:rsidR="002645EB" w:rsidRPr="0043445D">
        <w:rPr>
          <w:rFonts w:ascii="GHEA Grapalat" w:hAnsi="GHEA Grapalat"/>
          <w:color w:val="000000"/>
          <w:sz w:val="24"/>
          <w:szCs w:val="24"/>
          <w:shd w:val="clear" w:color="auto" w:fill="FFFFFF"/>
          <w:lang w:val="hy-AM"/>
        </w:rPr>
        <w:t xml:space="preserve">Արդար դատաքննության </w:t>
      </w:r>
      <w:r w:rsidR="00DF45E9" w:rsidRPr="0043445D">
        <w:rPr>
          <w:rFonts w:ascii="GHEA Grapalat" w:hAnsi="GHEA Grapalat"/>
          <w:sz w:val="24"/>
          <w:szCs w:val="24"/>
          <w:lang w:val="hy-AM"/>
        </w:rPr>
        <w:t>իրավունքի սահմանափակման համաչափության</w:t>
      </w:r>
      <w:r w:rsidR="002645EB" w:rsidRPr="0043445D">
        <w:rPr>
          <w:rFonts w:ascii="GHEA Grapalat" w:hAnsi="GHEA Grapalat"/>
          <w:sz w:val="24"/>
          <w:szCs w:val="24"/>
          <w:lang w:val="hy-AM"/>
        </w:rPr>
        <w:t>ն</w:t>
      </w:r>
      <w:r w:rsidR="00DF45E9" w:rsidRPr="0043445D">
        <w:rPr>
          <w:rFonts w:ascii="GHEA Grapalat" w:hAnsi="GHEA Grapalat"/>
          <w:sz w:val="24"/>
          <w:szCs w:val="24"/>
          <w:lang w:val="hy-AM"/>
        </w:rPr>
        <w:t xml:space="preserve"> է անդրադառնում Եվրոպական դատարանն իր</w:t>
      </w:r>
      <w:r w:rsidR="0074423A" w:rsidRPr="0043445D">
        <w:rPr>
          <w:rFonts w:ascii="GHEA Grapalat" w:hAnsi="GHEA Grapalat"/>
          <w:sz w:val="24"/>
          <w:szCs w:val="24"/>
          <w:lang w:val="hy-AM"/>
        </w:rPr>
        <w:t xml:space="preserve"> Նաիտ Լիմանն ընդդեմ Շվեյցարիայի գործով 2018 թվականի և</w:t>
      </w:r>
      <w:r w:rsidR="00DF45E9" w:rsidRPr="0043445D">
        <w:rPr>
          <w:rFonts w:ascii="GHEA Grapalat" w:hAnsi="GHEA Grapalat"/>
          <w:sz w:val="24"/>
          <w:szCs w:val="24"/>
          <w:lang w:val="hy-AM"/>
        </w:rPr>
        <w:t xml:space="preserve"> մի շարք </w:t>
      </w:r>
      <w:r w:rsidR="0074423A" w:rsidRPr="0043445D">
        <w:rPr>
          <w:rFonts w:ascii="GHEA Grapalat" w:hAnsi="GHEA Grapalat"/>
          <w:sz w:val="24"/>
          <w:szCs w:val="24"/>
          <w:lang w:val="hy-AM"/>
        </w:rPr>
        <w:t xml:space="preserve">այլ </w:t>
      </w:r>
      <w:r w:rsidR="002645EB" w:rsidRPr="0043445D">
        <w:rPr>
          <w:rFonts w:ascii="GHEA Grapalat" w:hAnsi="GHEA Grapalat"/>
          <w:sz w:val="24"/>
          <w:szCs w:val="24"/>
          <w:lang w:val="hy-AM"/>
        </w:rPr>
        <w:t>վճիռներում</w:t>
      </w:r>
      <w:r w:rsidR="00DF45E9" w:rsidRPr="0043445D">
        <w:rPr>
          <w:rFonts w:ascii="GHEA Grapalat" w:hAnsi="GHEA Grapalat"/>
          <w:sz w:val="24"/>
          <w:szCs w:val="24"/>
          <w:lang w:val="hy-AM"/>
        </w:rPr>
        <w:t>, ըստ որոնց</w:t>
      </w:r>
      <w:r w:rsidR="00B019E2">
        <w:rPr>
          <w:rFonts w:ascii="GHEA Grapalat" w:hAnsi="GHEA Grapalat"/>
          <w:sz w:val="24"/>
          <w:szCs w:val="24"/>
          <w:lang w:val="hy-AM"/>
        </w:rPr>
        <w:t>՝</w:t>
      </w:r>
      <w:r w:rsidR="00DF45E9" w:rsidRPr="0043445D">
        <w:rPr>
          <w:rFonts w:ascii="GHEA Grapalat" w:hAnsi="GHEA Grapalat"/>
          <w:sz w:val="24"/>
          <w:szCs w:val="24"/>
          <w:lang w:val="hy-AM"/>
        </w:rPr>
        <w:t xml:space="preserve"> իրավունքի սահմանափակումը չի կարող համարվել </w:t>
      </w:r>
      <w:r w:rsidR="005A6909">
        <w:rPr>
          <w:rFonts w:ascii="GHEA Grapalat" w:hAnsi="GHEA Grapalat"/>
          <w:sz w:val="24"/>
          <w:szCs w:val="24"/>
          <w:lang w:val="hy-AM"/>
        </w:rPr>
        <w:t>Կ</w:t>
      </w:r>
      <w:r w:rsidR="00DF45E9" w:rsidRPr="0043445D">
        <w:rPr>
          <w:rFonts w:ascii="GHEA Grapalat" w:hAnsi="GHEA Grapalat"/>
          <w:sz w:val="24"/>
          <w:szCs w:val="24"/>
          <w:lang w:val="hy-AM"/>
        </w:rPr>
        <w:t>ոնվենցիայի 6-րդ հոդվածի 1-ին մասին համապատասխանող, եթե այն չի հետապնդում իրավաչափ նպատակ և եթե գոյություն չունի ողջամիտ հարաբերակցություն գործարկված միջոցի և  նպատակների միջև</w:t>
      </w:r>
      <w:r w:rsidR="00DF45E9" w:rsidRPr="0043445D">
        <w:rPr>
          <w:rStyle w:val="FootnoteReference"/>
          <w:rFonts w:ascii="GHEA Grapalat" w:hAnsi="GHEA Grapalat"/>
          <w:sz w:val="24"/>
          <w:szCs w:val="24"/>
          <w:lang w:val="hy-AM"/>
        </w:rPr>
        <w:footnoteReference w:id="10"/>
      </w:r>
      <w:r w:rsidR="00DF45E9" w:rsidRPr="0043445D">
        <w:rPr>
          <w:rFonts w:ascii="GHEA Grapalat" w:hAnsi="GHEA Grapalat"/>
          <w:sz w:val="24"/>
          <w:szCs w:val="24"/>
          <w:lang w:val="hy-AM"/>
        </w:rPr>
        <w:t xml:space="preserve">:  </w:t>
      </w:r>
    </w:p>
    <w:p w14:paraId="508BE044" w14:textId="419DBD47" w:rsidR="005D6D9C" w:rsidRPr="0043445D" w:rsidRDefault="00F834AC" w:rsidP="0043445D">
      <w:pPr>
        <w:pStyle w:val="NormalWeb"/>
        <w:shd w:val="clear" w:color="auto" w:fill="FFFFFF"/>
        <w:spacing w:before="0" w:beforeAutospacing="0" w:after="0" w:afterAutospacing="0" w:line="360" w:lineRule="auto"/>
        <w:ind w:firstLine="720"/>
        <w:jc w:val="both"/>
        <w:rPr>
          <w:rFonts w:ascii="GHEA Grapalat" w:hAnsi="GHEA Grapalat"/>
          <w:color w:val="000000"/>
          <w:sz w:val="24"/>
          <w:szCs w:val="24"/>
          <w:shd w:val="clear" w:color="auto" w:fill="FFFFFF"/>
          <w:lang w:val="hy-AM"/>
        </w:rPr>
      </w:pPr>
      <w:r w:rsidRPr="0043445D">
        <w:rPr>
          <w:rFonts w:ascii="GHEA Grapalat" w:hAnsi="GHEA Grapalat"/>
          <w:color w:val="000000"/>
          <w:sz w:val="24"/>
          <w:szCs w:val="24"/>
          <w:shd w:val="clear" w:color="auto" w:fill="FFFFFF"/>
          <w:lang w:val="hy-AM"/>
        </w:rPr>
        <w:t>Միևնույն ժամանակ</w:t>
      </w:r>
      <w:r w:rsidR="005A6909">
        <w:rPr>
          <w:rFonts w:ascii="GHEA Grapalat" w:hAnsi="GHEA Grapalat"/>
          <w:color w:val="000000"/>
          <w:sz w:val="24"/>
          <w:szCs w:val="24"/>
          <w:shd w:val="clear" w:color="auto" w:fill="FFFFFF"/>
          <w:lang w:val="hy-AM"/>
        </w:rPr>
        <w:t>,</w:t>
      </w:r>
      <w:r w:rsidRPr="0043445D">
        <w:rPr>
          <w:rFonts w:ascii="GHEA Grapalat" w:hAnsi="GHEA Grapalat"/>
          <w:color w:val="000000"/>
          <w:sz w:val="24"/>
          <w:szCs w:val="24"/>
          <w:shd w:val="clear" w:color="auto" w:fill="FFFFFF"/>
          <w:lang w:val="hy-AM"/>
        </w:rPr>
        <w:t xml:space="preserve"> </w:t>
      </w:r>
      <w:r w:rsidR="005D6D9C" w:rsidRPr="0043445D">
        <w:rPr>
          <w:rFonts w:ascii="GHEA Grapalat" w:hAnsi="GHEA Grapalat"/>
          <w:color w:val="000000"/>
          <w:sz w:val="24"/>
          <w:szCs w:val="24"/>
          <w:shd w:val="clear" w:color="auto" w:fill="FFFFFF"/>
          <w:lang w:val="hy-AM"/>
        </w:rPr>
        <w:t xml:space="preserve">ՀՀ Սահմանադրության 80-րդ հոդվածի համաձայն՝ հիմնական իրավունքների և ազատությունների վերաբերյալ ՀՀ Սահմանադրության 2-րդ գլխում ամրագրված դրույթների էությունն անխախտելի է: Այսինքն՝ 2-րդ գլխով ամրագրված իրավունքները և դրանց իրականացման կառուցակարգերը, ինչպես նաև դրանց իրավական կարգավորման և սահմանափակման համար 2-րդ գլխով ամրագրված չափանիշները պետք է օրգանական կապի մեջ գտնվեն միմյանց հետ: Ուստի, այդ իրավունքներին և ազատություններին, ինչպես նաև դրանց համար նախատեսված սահմանափակումներին անդրադառնալիս անհրաժեշտ է դրանք դիտարկել ՀՀ Սահմանադրության 78-րդ հոդվածի տեսանկյունից: </w:t>
      </w:r>
    </w:p>
    <w:p w14:paraId="21277F86" w14:textId="228C7C66" w:rsidR="005D6D9C" w:rsidRPr="0043445D" w:rsidRDefault="00F834AC" w:rsidP="0043445D">
      <w:pPr>
        <w:pStyle w:val="NormalWeb"/>
        <w:shd w:val="clear" w:color="auto" w:fill="FFFFFF"/>
        <w:spacing w:before="0" w:beforeAutospacing="0" w:after="0" w:afterAutospacing="0" w:line="360" w:lineRule="auto"/>
        <w:ind w:firstLine="720"/>
        <w:jc w:val="both"/>
        <w:rPr>
          <w:rFonts w:ascii="GHEA Grapalat" w:hAnsi="GHEA Grapalat"/>
          <w:sz w:val="24"/>
          <w:szCs w:val="24"/>
          <w:lang w:val="hy-AM"/>
        </w:rPr>
      </w:pPr>
      <w:r w:rsidRPr="0043445D">
        <w:rPr>
          <w:rFonts w:ascii="GHEA Grapalat" w:hAnsi="GHEA Grapalat"/>
          <w:color w:val="000000"/>
          <w:sz w:val="24"/>
          <w:szCs w:val="24"/>
          <w:shd w:val="clear" w:color="auto" w:fill="FFFFFF"/>
          <w:lang w:val="hy-AM"/>
        </w:rPr>
        <w:lastRenderedPageBreak/>
        <w:t>ՀՀ Սահմանադրության 78-րդ</w:t>
      </w:r>
      <w:r w:rsidR="005D6D9C" w:rsidRPr="0043445D">
        <w:rPr>
          <w:rFonts w:ascii="GHEA Grapalat" w:hAnsi="GHEA Grapalat"/>
          <w:color w:val="000000"/>
          <w:sz w:val="24"/>
          <w:szCs w:val="24"/>
          <w:shd w:val="clear" w:color="auto" w:fill="FFFFFF"/>
          <w:lang w:val="hy-AM"/>
        </w:rPr>
        <w:t xml:space="preserve"> հոդվածի համաձայն՝ հիմնական իրավունքների և ազատությունների սահմանափակման համար ընտրված միջոցները պետք է պիտանի և անհրաժեշտ լինեն Սահմանադրությամբ սահմանված նպատակին հասնելու համար: Սահմանափակման համար ընտրված միջոցները պետք է համարժեք լինեն սահմանափակվող հիմնական իրավունքի և ազատության նշանակությանը: Այս առումով հատկանշական են քննարկվող հոդվածի առնչությամբ ՀՀ </w:t>
      </w:r>
      <w:r w:rsidR="005A6909">
        <w:rPr>
          <w:rFonts w:ascii="GHEA Grapalat" w:hAnsi="GHEA Grapalat"/>
          <w:color w:val="000000"/>
          <w:sz w:val="24"/>
          <w:szCs w:val="24"/>
          <w:shd w:val="clear" w:color="auto" w:fill="FFFFFF"/>
          <w:lang w:val="hy-AM"/>
        </w:rPr>
        <w:t>ս</w:t>
      </w:r>
      <w:r w:rsidR="005D6D9C" w:rsidRPr="0043445D">
        <w:rPr>
          <w:rFonts w:ascii="GHEA Grapalat" w:hAnsi="GHEA Grapalat"/>
          <w:color w:val="000000"/>
          <w:sz w:val="24"/>
          <w:szCs w:val="24"/>
          <w:shd w:val="clear" w:color="auto" w:fill="FFFFFF"/>
          <w:lang w:val="hy-AM"/>
        </w:rPr>
        <w:t>ահմանադրական դատարանի իրավական դիրքորոշումները</w:t>
      </w:r>
      <w:r w:rsidR="005A6909">
        <w:rPr>
          <w:rFonts w:ascii="GHEA Grapalat" w:hAnsi="GHEA Grapalat"/>
          <w:color w:val="000000"/>
          <w:sz w:val="24"/>
          <w:szCs w:val="24"/>
          <w:shd w:val="clear" w:color="auto" w:fill="FFFFFF"/>
          <w:lang w:val="hy-AM"/>
        </w:rPr>
        <w:t xml:space="preserve">, որոնք </w:t>
      </w:r>
      <w:r w:rsidR="005D6D9C" w:rsidRPr="0043445D">
        <w:rPr>
          <w:rFonts w:ascii="GHEA Grapalat" w:hAnsi="GHEA Grapalat"/>
          <w:color w:val="000000"/>
          <w:sz w:val="24"/>
          <w:szCs w:val="24"/>
          <w:shd w:val="clear" w:color="auto" w:fill="FFFFFF"/>
          <w:lang w:val="hy-AM"/>
        </w:rPr>
        <w:t>բացահայտ</w:t>
      </w:r>
      <w:r w:rsidR="005A6909">
        <w:rPr>
          <w:rFonts w:ascii="GHEA Grapalat" w:hAnsi="GHEA Grapalat"/>
          <w:color w:val="000000"/>
          <w:sz w:val="24"/>
          <w:szCs w:val="24"/>
          <w:shd w:val="clear" w:color="auto" w:fill="FFFFFF"/>
          <w:lang w:val="hy-AM"/>
        </w:rPr>
        <w:t>վ</w:t>
      </w:r>
      <w:r w:rsidR="005D6D9C" w:rsidRPr="0043445D">
        <w:rPr>
          <w:rFonts w:ascii="GHEA Grapalat" w:hAnsi="GHEA Grapalat"/>
          <w:color w:val="000000"/>
          <w:sz w:val="24"/>
          <w:szCs w:val="24"/>
          <w:shd w:val="clear" w:color="auto" w:fill="FFFFFF"/>
          <w:lang w:val="hy-AM"/>
        </w:rPr>
        <w:t xml:space="preserve">ել </w:t>
      </w:r>
      <w:r w:rsidR="005A6909">
        <w:rPr>
          <w:rFonts w:ascii="GHEA Grapalat" w:hAnsi="GHEA Grapalat"/>
          <w:color w:val="000000"/>
          <w:sz w:val="24"/>
          <w:szCs w:val="24"/>
          <w:shd w:val="clear" w:color="auto" w:fill="FFFFFF"/>
          <w:lang w:val="hy-AM"/>
        </w:rPr>
        <w:t>են</w:t>
      </w:r>
      <w:r w:rsidR="005D6D9C" w:rsidRPr="0043445D">
        <w:rPr>
          <w:rFonts w:ascii="GHEA Grapalat" w:hAnsi="GHEA Grapalat"/>
          <w:color w:val="000000"/>
          <w:sz w:val="24"/>
          <w:szCs w:val="24"/>
          <w:shd w:val="clear" w:color="auto" w:fill="FFFFFF"/>
          <w:lang w:val="hy-AM"/>
        </w:rPr>
        <w:t xml:space="preserve"> ՀՀ </w:t>
      </w:r>
      <w:r w:rsidR="005A6909">
        <w:rPr>
          <w:rFonts w:ascii="GHEA Grapalat" w:hAnsi="GHEA Grapalat"/>
          <w:color w:val="000000"/>
          <w:sz w:val="24"/>
          <w:szCs w:val="24"/>
          <w:shd w:val="clear" w:color="auto" w:fill="FFFFFF"/>
          <w:lang w:val="hy-AM"/>
        </w:rPr>
        <w:t>ս</w:t>
      </w:r>
      <w:r w:rsidR="005D6D9C" w:rsidRPr="0043445D">
        <w:rPr>
          <w:rFonts w:ascii="GHEA Grapalat" w:hAnsi="GHEA Grapalat"/>
          <w:color w:val="000000"/>
          <w:sz w:val="24"/>
          <w:szCs w:val="24"/>
          <w:shd w:val="clear" w:color="auto" w:fill="FFFFFF"/>
          <w:lang w:val="hy-AM"/>
        </w:rPr>
        <w:t xml:space="preserve">ահմանադրական </w:t>
      </w:r>
      <w:r w:rsidR="005A6909">
        <w:rPr>
          <w:rFonts w:ascii="GHEA Grapalat" w:hAnsi="GHEA Grapalat"/>
          <w:color w:val="000000"/>
          <w:sz w:val="24"/>
          <w:szCs w:val="24"/>
          <w:shd w:val="clear" w:color="auto" w:fill="FFFFFF"/>
          <w:lang w:val="hy-AM"/>
        </w:rPr>
        <w:t>դատարանի</w:t>
      </w:r>
      <w:r w:rsidR="005D6D9C" w:rsidRPr="0043445D">
        <w:rPr>
          <w:rFonts w:ascii="GHEA Grapalat" w:hAnsi="GHEA Grapalat"/>
          <w:color w:val="000000"/>
          <w:sz w:val="24"/>
          <w:szCs w:val="24"/>
          <w:shd w:val="clear" w:color="auto" w:fill="FFFFFF"/>
          <w:lang w:val="hy-AM"/>
        </w:rPr>
        <w:t xml:space="preserve">  2016 թվականի փետրվարի 23-ի թիվ ՍԴՈ-1256 և 2016 թվականի հուլիսի 12-ի թիվ ՍԴՈ-1293 որոշումներով</w:t>
      </w:r>
      <w:r w:rsidR="005A6909">
        <w:rPr>
          <w:rFonts w:ascii="GHEA Grapalat" w:hAnsi="GHEA Grapalat"/>
          <w:color w:val="000000"/>
          <w:sz w:val="24"/>
          <w:szCs w:val="24"/>
          <w:shd w:val="clear" w:color="auto" w:fill="FFFFFF"/>
          <w:lang w:val="hy-AM"/>
        </w:rPr>
        <w:t xml:space="preserve">: Դատարանը, մասնավորապես, </w:t>
      </w:r>
      <w:r w:rsidR="005D6D9C" w:rsidRPr="0043445D">
        <w:rPr>
          <w:rFonts w:ascii="GHEA Grapalat" w:hAnsi="GHEA Grapalat"/>
          <w:color w:val="000000"/>
          <w:sz w:val="24"/>
          <w:szCs w:val="24"/>
          <w:shd w:val="clear" w:color="auto" w:fill="FFFFFF"/>
          <w:lang w:val="hy-AM"/>
        </w:rPr>
        <w:t>նշել</w:t>
      </w:r>
      <w:r w:rsidR="005A6909">
        <w:rPr>
          <w:rFonts w:ascii="GHEA Grapalat" w:hAnsi="GHEA Grapalat"/>
          <w:color w:val="000000"/>
          <w:sz w:val="24"/>
          <w:szCs w:val="24"/>
          <w:shd w:val="clear" w:color="auto" w:fill="FFFFFF"/>
          <w:lang w:val="hy-AM"/>
        </w:rPr>
        <w:t xml:space="preserve"> է</w:t>
      </w:r>
      <w:r w:rsidR="005D6D9C" w:rsidRPr="0043445D">
        <w:rPr>
          <w:rFonts w:ascii="GHEA Grapalat" w:hAnsi="GHEA Grapalat"/>
          <w:color w:val="000000"/>
          <w:sz w:val="24"/>
          <w:szCs w:val="24"/>
          <w:shd w:val="clear" w:color="auto" w:fill="FFFFFF"/>
          <w:lang w:val="hy-AM"/>
        </w:rPr>
        <w:t>, որ</w:t>
      </w:r>
      <w:r w:rsidR="005D6D9C" w:rsidRPr="0043445D">
        <w:rPr>
          <w:rFonts w:ascii="Calibri" w:hAnsi="Calibri" w:cs="Calibri"/>
          <w:color w:val="000000"/>
          <w:sz w:val="24"/>
          <w:szCs w:val="24"/>
          <w:shd w:val="clear" w:color="auto" w:fill="FFFFFF"/>
          <w:lang w:val="hy-AM"/>
        </w:rPr>
        <w:t> </w:t>
      </w:r>
      <w:r w:rsidR="005D6D9C" w:rsidRPr="0043445D">
        <w:rPr>
          <w:rFonts w:ascii="GHEA Grapalat" w:hAnsi="GHEA Grapalat"/>
          <w:color w:val="000000"/>
          <w:sz w:val="24"/>
          <w:szCs w:val="24"/>
          <w:shd w:val="clear" w:color="auto" w:fill="FFFFFF"/>
          <w:lang w:val="hy-AM"/>
        </w:rPr>
        <w:t xml:space="preserve"> հիմնական իրավունքների և ազատությունների սահմանափակման համար ընտրված միջոցները </w:t>
      </w:r>
      <w:r w:rsidR="005A6909">
        <w:rPr>
          <w:rFonts w:ascii="GHEA Grapalat" w:hAnsi="GHEA Grapalat"/>
          <w:color w:val="000000"/>
          <w:sz w:val="24"/>
          <w:szCs w:val="24"/>
          <w:shd w:val="clear" w:color="auto" w:fill="FFFFFF"/>
          <w:lang w:val="hy-AM"/>
        </w:rPr>
        <w:t>չպետք է</w:t>
      </w:r>
      <w:r w:rsidR="005D6D9C" w:rsidRPr="0043445D">
        <w:rPr>
          <w:rFonts w:ascii="GHEA Grapalat" w:hAnsi="GHEA Grapalat"/>
          <w:color w:val="000000"/>
          <w:sz w:val="24"/>
          <w:szCs w:val="24"/>
          <w:shd w:val="clear" w:color="auto" w:fill="FFFFFF"/>
          <w:lang w:val="hy-AM"/>
        </w:rPr>
        <w:t xml:space="preserve"> խաթարեն ողջամիտ հավասարակշռությունը հետապնդվող նպատակի և այդ նպատակին հասնելու համար օգտագործված միջոցի միջև:</w:t>
      </w:r>
      <w:r w:rsidR="005D6D9C" w:rsidRPr="0043445D">
        <w:rPr>
          <w:rFonts w:ascii="GHEA Grapalat" w:hAnsi="GHEA Grapalat"/>
          <w:sz w:val="24"/>
          <w:szCs w:val="24"/>
          <w:lang w:val="hy-AM"/>
        </w:rPr>
        <w:t xml:space="preserve"> </w:t>
      </w:r>
    </w:p>
    <w:p w14:paraId="28F8D5C5" w14:textId="02113093" w:rsidR="00B2125E" w:rsidRDefault="00DF45E9" w:rsidP="0043445D">
      <w:pPr>
        <w:pStyle w:val="ListParagraph"/>
        <w:spacing w:line="360" w:lineRule="auto"/>
        <w:ind w:left="0" w:firstLine="720"/>
        <w:jc w:val="both"/>
        <w:rPr>
          <w:rFonts w:ascii="GHEA Grapalat" w:hAnsi="GHEA Grapalat"/>
          <w:lang w:val="hy-AM"/>
        </w:rPr>
      </w:pPr>
      <w:r w:rsidRPr="0043445D">
        <w:rPr>
          <w:rFonts w:ascii="GHEA Grapalat" w:hAnsi="GHEA Grapalat"/>
          <w:lang w:val="hy-AM"/>
        </w:rPr>
        <w:t xml:space="preserve">Տվյալ </w:t>
      </w:r>
      <w:r w:rsidR="0055380D" w:rsidRPr="0043445D">
        <w:rPr>
          <w:rFonts w:ascii="GHEA Grapalat" w:hAnsi="GHEA Grapalat"/>
          <w:lang w:val="hy-AM"/>
        </w:rPr>
        <w:t>պ</w:t>
      </w:r>
      <w:r w:rsidRPr="0043445D">
        <w:rPr>
          <w:rFonts w:ascii="GHEA Grapalat" w:hAnsi="GHEA Grapalat"/>
          <w:lang w:val="hy-AM"/>
        </w:rPr>
        <w:t>արագայում գործ ունենք տարբեր ատյաններում տարբեր կարգավորումների հետ, որոնց պարագայում հասկանալի չէ իրավունքի սահմանափակման իրավաչափ նպատակը:</w:t>
      </w:r>
      <w:r w:rsidR="0074423A" w:rsidRPr="0043445D">
        <w:rPr>
          <w:rFonts w:ascii="GHEA Grapalat" w:hAnsi="GHEA Grapalat"/>
          <w:lang w:val="hy-AM"/>
        </w:rPr>
        <w:t xml:space="preserve"> Այսինքն՝ մի դեպքում նույն իրավունքի իրականացման համար </w:t>
      </w:r>
      <w:r w:rsidR="00B019E2">
        <w:rPr>
          <w:rFonts w:ascii="GHEA Grapalat" w:hAnsi="GHEA Grapalat"/>
          <w:lang w:val="hy-AM"/>
        </w:rPr>
        <w:t>նախատեսված են կառուցակարգեր՝ հ</w:t>
      </w:r>
      <w:r w:rsidR="00F632D8" w:rsidRPr="0043445D">
        <w:rPr>
          <w:rFonts w:ascii="GHEA Grapalat" w:hAnsi="GHEA Grapalat"/>
          <w:lang w:val="hy-AM"/>
        </w:rPr>
        <w:t>նարավորություն գործն ըստ էության լուծող օրինակ</w:t>
      </w:r>
      <w:r w:rsidR="00B019E2">
        <w:rPr>
          <w:rFonts w:ascii="GHEA Grapalat" w:hAnsi="GHEA Grapalat"/>
          <w:lang w:val="hy-AM"/>
        </w:rPr>
        <w:t xml:space="preserve">ան ուժի մեջ մտած դատական ակտերը </w:t>
      </w:r>
      <w:r w:rsidR="00F632D8" w:rsidRPr="0043445D">
        <w:rPr>
          <w:rFonts w:ascii="GHEA Grapalat" w:hAnsi="GHEA Grapalat"/>
          <w:lang w:val="hy-AM"/>
        </w:rPr>
        <w:t xml:space="preserve">բացառիկ դեպքերում, առանց ժամկետային սահմանափակումների </w:t>
      </w:r>
      <w:r w:rsidR="005764C5" w:rsidRPr="0043445D">
        <w:rPr>
          <w:rFonts w:ascii="GHEA Grapalat" w:hAnsi="GHEA Grapalat"/>
          <w:lang w:val="hy-AM"/>
        </w:rPr>
        <w:t xml:space="preserve">բողոքարկել վճռաբեկության կարգով, իսկ </w:t>
      </w:r>
      <w:r w:rsidR="00B019E2">
        <w:rPr>
          <w:rFonts w:ascii="GHEA Grapalat" w:hAnsi="GHEA Grapalat"/>
          <w:lang w:val="hy-AM"/>
        </w:rPr>
        <w:t xml:space="preserve">նույն դեպքում </w:t>
      </w:r>
      <w:r w:rsidR="005764C5" w:rsidRPr="0043445D">
        <w:rPr>
          <w:rFonts w:ascii="GHEA Grapalat" w:hAnsi="GHEA Grapalat"/>
          <w:lang w:val="hy-AM"/>
        </w:rPr>
        <w:t xml:space="preserve">վերաքննիչ բողոք ներկայացնելու համար ամրագրված է վեցամսյա ժամկետային սահմանափակում: </w:t>
      </w:r>
    </w:p>
    <w:p w14:paraId="6C85DA19" w14:textId="363674D6" w:rsidR="003003CF" w:rsidRPr="0043445D" w:rsidRDefault="00FF1822" w:rsidP="0043445D">
      <w:pPr>
        <w:pStyle w:val="ListParagraph"/>
        <w:spacing w:line="360" w:lineRule="auto"/>
        <w:ind w:left="0" w:firstLine="720"/>
        <w:jc w:val="both"/>
        <w:rPr>
          <w:rFonts w:ascii="GHEA Grapalat" w:hAnsi="GHEA Grapalat"/>
          <w:lang w:val="hy-AM"/>
        </w:rPr>
      </w:pPr>
      <w:r w:rsidRPr="0043445D">
        <w:rPr>
          <w:rFonts w:ascii="GHEA Grapalat" w:hAnsi="GHEA Grapalat"/>
          <w:lang w:val="hy-AM"/>
        </w:rPr>
        <w:t xml:space="preserve">Այսպիսով, խնդրո առարկա կարգավորումների և դրանց իրավակիրառ պրակտիկայի վերաբերյալ կատարված վերլուծությունից կարելի է եզրահանգել, որ ներպետական օրենսդրությամբ անհրաժեշտ է նախատեսել այնպիսի օրենսդրական կարգավորումներ, որոնք կբովանդակեն և կերաշխավորեն </w:t>
      </w:r>
      <w:r w:rsidR="003003CF" w:rsidRPr="0043445D">
        <w:rPr>
          <w:rFonts w:ascii="GHEA Grapalat" w:hAnsi="GHEA Grapalat"/>
          <w:lang w:val="hy-AM"/>
        </w:rPr>
        <w:t>անձի</w:t>
      </w:r>
      <w:r w:rsidR="00147E88">
        <w:rPr>
          <w:rFonts w:ascii="GHEA Grapalat" w:hAnsi="GHEA Grapalat"/>
          <w:lang w:val="hy-AM"/>
        </w:rPr>
        <w:t>՝</w:t>
      </w:r>
      <w:r w:rsidR="003003CF" w:rsidRPr="0043445D">
        <w:rPr>
          <w:rFonts w:ascii="GHEA Grapalat" w:hAnsi="GHEA Grapalat"/>
          <w:lang w:val="hy-AM"/>
        </w:rPr>
        <w:t xml:space="preserve"> արդար դատաքննության </w:t>
      </w:r>
      <w:r w:rsidRPr="0043445D">
        <w:rPr>
          <w:rFonts w:ascii="GHEA Grapalat" w:hAnsi="GHEA Grapalat"/>
          <w:lang w:val="hy-AM"/>
        </w:rPr>
        <w:t xml:space="preserve">իրավունքի պաշտպանությունը, հնարավորություն կտան </w:t>
      </w:r>
      <w:r w:rsidR="003003CF" w:rsidRPr="0043445D">
        <w:rPr>
          <w:rFonts w:ascii="GHEA Grapalat" w:hAnsi="GHEA Grapalat"/>
          <w:lang w:val="hy-AM"/>
        </w:rPr>
        <w:t>վերաքննո</w:t>
      </w:r>
      <w:r w:rsidR="00147E88">
        <w:rPr>
          <w:rFonts w:ascii="GHEA Grapalat" w:hAnsi="GHEA Grapalat"/>
          <w:lang w:val="hy-AM"/>
        </w:rPr>
        <w:t>ւթյան կարգով բողոքարկման ենթակա</w:t>
      </w:r>
      <w:r w:rsidR="003003CF" w:rsidRPr="0043445D">
        <w:rPr>
          <w:rFonts w:ascii="GHEA Grapalat" w:hAnsi="GHEA Grapalat"/>
          <w:lang w:val="hy-AM"/>
        </w:rPr>
        <w:t xml:space="preserve"> առաջին ատյանի դատարանների՝ գործն ըստ էության լուծող օրինական ուժի մեջ մտած դատական ակտերն այն բացառիկ դեպքերում, երբ գործի նախորդ դատական քննության ընթացքում թույլ են տրվել նյութական կամ դատավարական իրավունքի այնպիսի </w:t>
      </w:r>
      <w:r w:rsidR="003003CF" w:rsidRPr="0043445D">
        <w:rPr>
          <w:rFonts w:ascii="GHEA Grapalat" w:hAnsi="GHEA Grapalat"/>
          <w:lang w:val="hy-AM"/>
        </w:rPr>
        <w:lastRenderedPageBreak/>
        <w:t>հիմնարար խախտումներ, որոնց արդյունքում ընդունված դատական ակտը խաթարում է արդարադատության բուն էությունը</w:t>
      </w:r>
      <w:r w:rsidR="00EE2A70">
        <w:rPr>
          <w:rFonts w:ascii="GHEA Grapalat" w:hAnsi="GHEA Grapalat"/>
          <w:lang w:val="hy-AM"/>
        </w:rPr>
        <w:t>,</w:t>
      </w:r>
      <w:r w:rsidR="003003CF" w:rsidRPr="0043445D">
        <w:rPr>
          <w:rFonts w:ascii="GHEA Grapalat" w:hAnsi="GHEA Grapalat"/>
          <w:lang w:val="hy-AM"/>
        </w:rPr>
        <w:t xml:space="preserve"> վերաքննության կարգով բողոքարկել վերաքննիչ դատարան</w:t>
      </w:r>
      <w:r w:rsidR="00EE2A70">
        <w:rPr>
          <w:rFonts w:ascii="GHEA Grapalat" w:hAnsi="GHEA Grapalat"/>
          <w:lang w:val="hy-AM"/>
        </w:rPr>
        <w:t>՝</w:t>
      </w:r>
      <w:r w:rsidR="00F46A3A" w:rsidRPr="0043445D">
        <w:rPr>
          <w:rFonts w:ascii="GHEA Grapalat" w:hAnsi="GHEA Grapalat"/>
          <w:lang w:val="hy-AM"/>
        </w:rPr>
        <w:t xml:space="preserve"> առանց ժամկետային սահման</w:t>
      </w:r>
      <w:r w:rsidR="00B019E2">
        <w:rPr>
          <w:rFonts w:ascii="GHEA Grapalat" w:hAnsi="GHEA Grapalat"/>
          <w:lang w:val="hy-AM"/>
        </w:rPr>
        <w:t>ա</w:t>
      </w:r>
      <w:r w:rsidR="00F46A3A" w:rsidRPr="0043445D">
        <w:rPr>
          <w:rFonts w:ascii="GHEA Grapalat" w:hAnsi="GHEA Grapalat"/>
          <w:lang w:val="hy-AM"/>
        </w:rPr>
        <w:t>փակու</w:t>
      </w:r>
      <w:r w:rsidR="003A3B7A">
        <w:rPr>
          <w:rFonts w:ascii="GHEA Grapalat" w:hAnsi="GHEA Grapalat"/>
          <w:lang w:val="hy-AM"/>
        </w:rPr>
        <w:t>մ</w:t>
      </w:r>
      <w:r w:rsidR="00F46A3A" w:rsidRPr="0043445D">
        <w:rPr>
          <w:rFonts w:ascii="GHEA Grapalat" w:hAnsi="GHEA Grapalat"/>
          <w:lang w:val="hy-AM"/>
        </w:rPr>
        <w:t xml:space="preserve">ների՝ պայմանավորված անձի </w:t>
      </w:r>
      <w:r w:rsidR="003A3B7A">
        <w:rPr>
          <w:rFonts w:ascii="GHEA Grapalat" w:hAnsi="GHEA Grapalat"/>
          <w:lang w:val="hy-AM"/>
        </w:rPr>
        <w:t>իրավունքների</w:t>
      </w:r>
      <w:r w:rsidR="00F46A3A" w:rsidRPr="0043445D">
        <w:rPr>
          <w:rFonts w:ascii="GHEA Grapalat" w:hAnsi="GHEA Grapalat"/>
          <w:lang w:val="hy-AM"/>
        </w:rPr>
        <w:t xml:space="preserve"> իրականացման անհրաժեշտությամբ: Իսկ գործող դատավարական կարգավորումներն այնքանով, որքանով չեն ամրագրում արդար դատաքննության իրավունքի պաշտպանության արդյունավետ ընթացակարգեր, չեն բավարարում արդար դատաքննության և </w:t>
      </w:r>
      <w:r w:rsidR="0043445D" w:rsidRPr="0043445D">
        <w:rPr>
          <w:rFonts w:ascii="GHEA Grapalat" w:hAnsi="GHEA Grapalat"/>
          <w:lang w:val="hy-AM"/>
        </w:rPr>
        <w:t xml:space="preserve">դատական պաշտպանության </w:t>
      </w:r>
      <w:r w:rsidR="003A3B7A">
        <w:rPr>
          <w:rFonts w:ascii="GHEA Grapalat" w:hAnsi="GHEA Grapalat"/>
          <w:lang w:val="hy-AM"/>
        </w:rPr>
        <w:t>իրավունքների</w:t>
      </w:r>
      <w:r w:rsidR="0043445D" w:rsidRPr="0043445D">
        <w:rPr>
          <w:rFonts w:ascii="GHEA Grapalat" w:hAnsi="GHEA Grapalat"/>
          <w:lang w:val="hy-AM"/>
        </w:rPr>
        <w:t xml:space="preserve"> </w:t>
      </w:r>
      <w:r w:rsidR="00F46A3A" w:rsidRPr="0043445D">
        <w:rPr>
          <w:rFonts w:ascii="GHEA Grapalat" w:hAnsi="GHEA Grapalat"/>
          <w:lang w:val="hy-AM"/>
        </w:rPr>
        <w:t>սահմանադրական պահանջները:</w:t>
      </w:r>
    </w:p>
    <w:p w14:paraId="1D4B5964" w14:textId="77777777" w:rsidR="00FF1822" w:rsidRPr="0043445D" w:rsidRDefault="00FF1822" w:rsidP="0043445D">
      <w:pPr>
        <w:pStyle w:val="ListParagraph"/>
        <w:spacing w:line="360" w:lineRule="auto"/>
        <w:ind w:left="0" w:firstLine="720"/>
        <w:jc w:val="both"/>
        <w:rPr>
          <w:rFonts w:ascii="GHEA Grapalat" w:hAnsi="GHEA Grapalat"/>
          <w:lang w:val="hy-AM"/>
        </w:rPr>
      </w:pPr>
    </w:p>
    <w:sectPr w:rsidR="00FF1822" w:rsidRPr="0043445D" w:rsidSect="00FB3271">
      <w:footerReference w:type="default" r:id="rId8"/>
      <w:pgSz w:w="12240" w:h="15840"/>
      <w:pgMar w:top="1134" w:right="990" w:bottom="1530" w:left="108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978CE" w14:textId="77777777" w:rsidR="00FD70F1" w:rsidRDefault="00FD70F1" w:rsidP="00C314D8">
      <w:pPr>
        <w:spacing w:after="0" w:line="240" w:lineRule="auto"/>
      </w:pPr>
      <w:r>
        <w:separator/>
      </w:r>
    </w:p>
  </w:endnote>
  <w:endnote w:type="continuationSeparator" w:id="0">
    <w:p w14:paraId="441794A8" w14:textId="77777777" w:rsidR="00FD70F1" w:rsidRDefault="00FD70F1" w:rsidP="00C3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GHEA Grapalat">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841024"/>
      <w:docPartObj>
        <w:docPartGallery w:val="Page Numbers (Bottom of Page)"/>
        <w:docPartUnique/>
      </w:docPartObj>
    </w:sdtPr>
    <w:sdtEndPr>
      <w:rPr>
        <w:noProof/>
      </w:rPr>
    </w:sdtEndPr>
    <w:sdtContent>
      <w:p w14:paraId="5C4E1203" w14:textId="4F8C3731" w:rsidR="006B02D3" w:rsidRDefault="006B02D3">
        <w:pPr>
          <w:pStyle w:val="Footer"/>
          <w:jc w:val="center"/>
        </w:pPr>
        <w:r>
          <w:fldChar w:fldCharType="begin"/>
        </w:r>
        <w:r>
          <w:instrText xml:space="preserve"> PAGE   \* MERGEFORMAT </w:instrText>
        </w:r>
        <w:r>
          <w:fldChar w:fldCharType="separate"/>
        </w:r>
        <w:r w:rsidR="006C49F3">
          <w:rPr>
            <w:noProof/>
          </w:rPr>
          <w:t>1</w:t>
        </w:r>
        <w:r>
          <w:rPr>
            <w:noProof/>
          </w:rPr>
          <w:fldChar w:fldCharType="end"/>
        </w:r>
      </w:p>
    </w:sdtContent>
  </w:sdt>
  <w:p w14:paraId="3A15F3B4" w14:textId="77777777" w:rsidR="006B02D3" w:rsidRDefault="006B02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1340C" w14:textId="77777777" w:rsidR="00FD70F1" w:rsidRDefault="00FD70F1" w:rsidP="00C314D8">
      <w:pPr>
        <w:spacing w:after="0" w:line="240" w:lineRule="auto"/>
      </w:pPr>
      <w:r>
        <w:separator/>
      </w:r>
    </w:p>
  </w:footnote>
  <w:footnote w:type="continuationSeparator" w:id="0">
    <w:p w14:paraId="12DD20FF" w14:textId="77777777" w:rsidR="00FD70F1" w:rsidRDefault="00FD70F1" w:rsidP="00C314D8">
      <w:pPr>
        <w:spacing w:after="0" w:line="240" w:lineRule="auto"/>
      </w:pPr>
      <w:r>
        <w:continuationSeparator/>
      </w:r>
    </w:p>
  </w:footnote>
  <w:footnote w:id="1">
    <w:p w14:paraId="15E04C80" w14:textId="4A944590" w:rsidR="008C2955" w:rsidRPr="007F6369" w:rsidRDefault="008C2955" w:rsidP="007F6369">
      <w:pPr>
        <w:pStyle w:val="FootnoteText"/>
        <w:jc w:val="both"/>
        <w:rPr>
          <w:rFonts w:ascii="GHEA Grapalat" w:hAnsi="GHEA Grapalat"/>
          <w:lang w:val="hy-AM"/>
        </w:rPr>
      </w:pPr>
      <w:r w:rsidRPr="007F6369">
        <w:rPr>
          <w:rStyle w:val="FootnoteReference"/>
          <w:rFonts w:ascii="GHEA Grapalat" w:hAnsi="GHEA Grapalat"/>
        </w:rPr>
        <w:footnoteRef/>
      </w:r>
      <w:r w:rsidRPr="007F6369">
        <w:rPr>
          <w:rFonts w:ascii="GHEA Grapalat" w:hAnsi="GHEA Grapalat"/>
        </w:rPr>
        <w:t xml:space="preserve"> </w:t>
      </w:r>
      <w:r w:rsidRPr="007F6369">
        <w:rPr>
          <w:rFonts w:ascii="GHEA Grapalat" w:hAnsi="GHEA Grapalat"/>
          <w:lang w:val="hy-AM"/>
        </w:rPr>
        <w:t>Այսուհետ՝ Օրենսգիրք</w:t>
      </w:r>
    </w:p>
  </w:footnote>
  <w:footnote w:id="2">
    <w:p w14:paraId="0699F728" w14:textId="026E37B9" w:rsidR="00E93A08" w:rsidRPr="007F6369" w:rsidRDefault="00E93A08" w:rsidP="007F6369">
      <w:pPr>
        <w:pStyle w:val="FootnoteText"/>
        <w:spacing w:line="276" w:lineRule="auto"/>
        <w:jc w:val="both"/>
        <w:rPr>
          <w:rFonts w:ascii="GHEA Grapalat" w:hAnsi="GHEA Grapalat"/>
          <w:lang w:val="hy-AM"/>
        </w:rPr>
      </w:pPr>
      <w:r w:rsidRPr="007F6369">
        <w:rPr>
          <w:rStyle w:val="FootnoteReference"/>
          <w:rFonts w:ascii="GHEA Grapalat" w:hAnsi="GHEA Grapalat"/>
        </w:rPr>
        <w:footnoteRef/>
      </w:r>
      <w:r w:rsidRPr="007F6369">
        <w:rPr>
          <w:rFonts w:ascii="GHEA Grapalat" w:hAnsi="GHEA Grapalat"/>
        </w:rPr>
        <w:t xml:space="preserve"> </w:t>
      </w:r>
      <w:r w:rsidRPr="007F6369">
        <w:rPr>
          <w:rFonts w:ascii="GHEA Grapalat" w:hAnsi="GHEA Grapalat"/>
          <w:lang w:val="hy-AM"/>
        </w:rPr>
        <w:t xml:space="preserve">Այն է՝ </w:t>
      </w:r>
      <w:r w:rsidR="00B2125E" w:rsidRPr="007F6369">
        <w:rPr>
          <w:rFonts w:ascii="GHEA Grapalat" w:hAnsi="GHEA Grapalat"/>
          <w:lang w:val="hy-AM"/>
        </w:rPr>
        <w:t>վ</w:t>
      </w:r>
      <w:r w:rsidRPr="007F6369">
        <w:rPr>
          <w:rFonts w:ascii="GHEA Grapalat" w:hAnsi="GHEA Grapalat"/>
          <w:lang w:val="hy-AM"/>
        </w:rPr>
        <w:t>երաքննության կարգով բողոքարկման ենթակա են առաջին ատյանի դատարանների՝ գործն ըստ էության լուծող օրինական ուժի մեջ մտած դատական ակտերն այն բացառիկ դեպքերում, երբ գործի նախորդ դատական քննության ընթացքում թույլ են տրվել նյութական կամ դատավարական իրավունքի այնպիսի հիմնարար խախտումներ, որոնց արդյունքում ընդունված դատական ակտը խաթարում է արդարադատության բուն էությունը</w:t>
      </w:r>
      <w:r w:rsidR="007F6369" w:rsidRPr="007F6369">
        <w:rPr>
          <w:rFonts w:ascii="GHEA Grapalat" w:hAnsi="GHEA Grapalat"/>
          <w:lang w:val="hy-AM"/>
        </w:rPr>
        <w:t>:</w:t>
      </w:r>
    </w:p>
  </w:footnote>
  <w:footnote w:id="3">
    <w:p w14:paraId="29A12BDD" w14:textId="77777777" w:rsidR="001143C7" w:rsidRPr="007F6369" w:rsidRDefault="001143C7" w:rsidP="007F6369">
      <w:pPr>
        <w:pStyle w:val="FootnoteText"/>
        <w:spacing w:line="276" w:lineRule="auto"/>
        <w:jc w:val="both"/>
        <w:rPr>
          <w:rFonts w:ascii="GHEA Grapalat" w:hAnsi="GHEA Grapalat"/>
          <w:lang w:val="hy-AM"/>
        </w:rPr>
      </w:pPr>
      <w:r w:rsidRPr="007F6369">
        <w:rPr>
          <w:rStyle w:val="FootnoteReference"/>
          <w:rFonts w:ascii="GHEA Grapalat" w:hAnsi="GHEA Grapalat"/>
        </w:rPr>
        <w:footnoteRef/>
      </w:r>
      <w:r w:rsidRPr="007F6369">
        <w:rPr>
          <w:rFonts w:ascii="GHEA Grapalat" w:hAnsi="GHEA Grapalat"/>
          <w:lang w:val="hy-AM"/>
        </w:rPr>
        <w:t xml:space="preserve"> Այն է՝ </w:t>
      </w:r>
      <w:r w:rsidRPr="007F6369">
        <w:rPr>
          <w:rFonts w:ascii="GHEA Grapalat" w:eastAsia="Times New Roman" w:hAnsi="GHEA Grapalat" w:cs="Times New Roman"/>
          <w:color w:val="000000"/>
          <w:lang w:val="hy-AM"/>
        </w:rPr>
        <w:t>21-րդ հոդվածի երկրորդ մասի կանոնները չեն գործում այն բացառիկ դեպքերում, երբ գործի նախորդ դատական քննության ընթացքում թույլ են տրվել նյութական կամ դատավարական իրավունքի այնպիսի հիմնարար խախտումներ, որի արդյունքում ընդունված դատական ակտը խաթարում է արդարադատության բուն էությունը, խախտում է սահմանադրորեն պաշտպանվող շահերի անհրաժեշտ հավասարակշռությունը:</w:t>
      </w:r>
    </w:p>
  </w:footnote>
  <w:footnote w:id="4">
    <w:p w14:paraId="0B73AC77" w14:textId="2E65B728" w:rsidR="00177121" w:rsidRPr="007F6369" w:rsidRDefault="00177121" w:rsidP="007F6369">
      <w:pPr>
        <w:pStyle w:val="FootnoteText"/>
        <w:spacing w:line="276" w:lineRule="auto"/>
        <w:jc w:val="both"/>
        <w:rPr>
          <w:rFonts w:ascii="GHEA Grapalat" w:hAnsi="GHEA Grapalat"/>
          <w:lang w:val="hy-AM"/>
        </w:rPr>
      </w:pPr>
      <w:r w:rsidRPr="007F6369">
        <w:rPr>
          <w:rStyle w:val="FootnoteReference"/>
          <w:rFonts w:ascii="GHEA Grapalat" w:hAnsi="GHEA Grapalat"/>
        </w:rPr>
        <w:footnoteRef/>
      </w:r>
      <w:r w:rsidRPr="007F6369">
        <w:rPr>
          <w:rFonts w:ascii="GHEA Grapalat" w:hAnsi="GHEA Grapalat"/>
          <w:lang w:val="hy-AM"/>
        </w:rPr>
        <w:t xml:space="preserve"> </w:t>
      </w:r>
      <w:r w:rsidRPr="007F6369">
        <w:rPr>
          <w:rFonts w:ascii="GHEA Grapalat" w:hAnsi="GHEA Grapalat"/>
          <w:lang w:val="hy-AM"/>
        </w:rPr>
        <w:t>Տե</w:t>
      </w:r>
      <w:r w:rsidR="00AC5DD7" w:rsidRPr="007F6369">
        <w:rPr>
          <w:rFonts w:ascii="GHEA Grapalat" w:hAnsi="GHEA Grapalat"/>
          <w:lang w:val="hy-AM"/>
        </w:rPr>
        <w:t>՛</w:t>
      </w:r>
      <w:r w:rsidRPr="007F6369">
        <w:rPr>
          <w:rFonts w:ascii="GHEA Grapalat" w:hAnsi="GHEA Grapalat"/>
          <w:lang w:val="hy-AM"/>
        </w:rPr>
        <w:t xml:space="preserve">ս Գոլդերն ընդդեմ Մեծ </w:t>
      </w:r>
      <w:r w:rsidR="00B32D3B" w:rsidRPr="007F6369">
        <w:rPr>
          <w:rFonts w:ascii="GHEA Grapalat" w:hAnsi="GHEA Grapalat"/>
          <w:lang w:val="hy-AM"/>
        </w:rPr>
        <w:t>Բրիտանիայի (</w:t>
      </w:r>
      <w:r w:rsidRPr="007F6369">
        <w:rPr>
          <w:rFonts w:ascii="GHEA Grapalat" w:hAnsi="GHEA Grapalat"/>
          <w:lang w:val="hy-AM"/>
        </w:rPr>
        <w:t>Golder v. the United Kingdom</w:t>
      </w:r>
      <w:r w:rsidR="00B32D3B" w:rsidRPr="007F6369">
        <w:rPr>
          <w:rFonts w:ascii="GHEA Grapalat" w:hAnsi="GHEA Grapalat"/>
          <w:lang w:val="hy-AM"/>
        </w:rPr>
        <w:t xml:space="preserve">) գործով 1975 թվականի վճիռը, գանգատ թիվ </w:t>
      </w:r>
      <w:r w:rsidR="00B32D3B" w:rsidRPr="007F6369">
        <w:rPr>
          <w:rFonts w:ascii="GHEA Grapalat" w:hAnsi="GHEA Grapalat" w:cs="Arial"/>
          <w:color w:val="000000"/>
          <w:shd w:val="clear" w:color="auto" w:fill="FFFFFF"/>
          <w:lang w:val="hy-AM"/>
        </w:rPr>
        <w:t>4451/70</w:t>
      </w:r>
      <w:r w:rsidRPr="007F6369">
        <w:rPr>
          <w:rFonts w:ascii="GHEA Grapalat" w:hAnsi="GHEA Grapalat"/>
          <w:lang w:val="hy-AM"/>
        </w:rPr>
        <w:t xml:space="preserve">, </w:t>
      </w:r>
      <w:r w:rsidR="00B32D3B" w:rsidRPr="007F6369">
        <w:rPr>
          <w:rFonts w:ascii="GHEA Grapalat" w:hAnsi="GHEA Grapalat"/>
          <w:lang w:val="hy-AM"/>
        </w:rPr>
        <w:t>կետ</w:t>
      </w:r>
      <w:r w:rsidRPr="007F6369">
        <w:rPr>
          <w:rFonts w:ascii="GHEA Grapalat" w:hAnsi="GHEA Grapalat"/>
          <w:lang w:val="hy-AM"/>
        </w:rPr>
        <w:t xml:space="preserve"> 38; </w:t>
      </w:r>
      <w:r w:rsidR="00B32D3B" w:rsidRPr="007F6369">
        <w:rPr>
          <w:rFonts w:ascii="GHEA Grapalat" w:hAnsi="GHEA Grapalat"/>
          <w:lang w:val="hy-AM"/>
        </w:rPr>
        <w:t>Ստա</w:t>
      </w:r>
      <w:r w:rsidR="007F6369">
        <w:rPr>
          <w:rFonts w:ascii="GHEA Grapalat" w:hAnsi="GHEA Grapalat"/>
          <w:lang w:val="hy-AM"/>
        </w:rPr>
        <w:t>ն</w:t>
      </w:r>
      <w:r w:rsidR="00B32D3B" w:rsidRPr="007F6369">
        <w:rPr>
          <w:rFonts w:ascii="GHEA Grapalat" w:hAnsi="GHEA Grapalat"/>
          <w:lang w:val="hy-AM"/>
        </w:rPr>
        <w:t>ևն ընդդեմ Բուլղարիայի (</w:t>
      </w:r>
      <w:r w:rsidRPr="007F6369">
        <w:rPr>
          <w:rFonts w:ascii="GHEA Grapalat" w:hAnsi="GHEA Grapalat"/>
          <w:lang w:val="hy-AM"/>
        </w:rPr>
        <w:t>Stanev v. Bulgaria [GC]</w:t>
      </w:r>
      <w:r w:rsidR="007F6369" w:rsidRPr="007F6369">
        <w:rPr>
          <w:rFonts w:ascii="GHEA Grapalat" w:hAnsi="GHEA Grapalat"/>
          <w:lang w:val="hy-AM"/>
        </w:rPr>
        <w:t>)</w:t>
      </w:r>
      <w:r w:rsidR="00B32D3B" w:rsidRPr="007F6369">
        <w:rPr>
          <w:rFonts w:ascii="GHEA Grapalat" w:hAnsi="GHEA Grapalat"/>
          <w:lang w:val="hy-AM"/>
        </w:rPr>
        <w:t xml:space="preserve"> գործով 2012 թվականի վճիռը, գանգատ թիվ 36760/06, կետ</w:t>
      </w:r>
      <w:r w:rsidRPr="007F6369">
        <w:rPr>
          <w:rFonts w:ascii="GHEA Grapalat" w:hAnsi="GHEA Grapalat"/>
          <w:lang w:val="hy-AM"/>
        </w:rPr>
        <w:t xml:space="preserve"> 230; </w:t>
      </w:r>
      <w:r w:rsidR="00B32D3B" w:rsidRPr="007F6369">
        <w:rPr>
          <w:rFonts w:ascii="GHEA Grapalat" w:hAnsi="GHEA Grapalat"/>
          <w:lang w:val="hy-AM"/>
        </w:rPr>
        <w:t>Զուբակն ընդդեմ Խորվաթիայի (</w:t>
      </w:r>
      <w:r w:rsidRPr="007F6369">
        <w:rPr>
          <w:rFonts w:ascii="GHEA Grapalat" w:hAnsi="GHEA Grapalat"/>
          <w:lang w:val="hy-AM"/>
        </w:rPr>
        <w:t>Zubac v. Croatia [GC]</w:t>
      </w:r>
      <w:r w:rsidR="00B32D3B" w:rsidRPr="007F6369">
        <w:rPr>
          <w:rFonts w:ascii="GHEA Grapalat" w:hAnsi="GHEA Grapalat"/>
          <w:lang w:val="hy-AM"/>
        </w:rPr>
        <w:t>) գործով 2018 թվականի վճիռը, գանգատ թիվ 40160/12</w:t>
      </w:r>
      <w:r w:rsidRPr="007F6369">
        <w:rPr>
          <w:rFonts w:ascii="GHEA Grapalat" w:hAnsi="GHEA Grapalat"/>
          <w:lang w:val="hy-AM"/>
        </w:rPr>
        <w:t>,</w:t>
      </w:r>
      <w:r w:rsidR="00B32D3B" w:rsidRPr="007F6369">
        <w:rPr>
          <w:rFonts w:ascii="GHEA Grapalat" w:hAnsi="GHEA Grapalat"/>
          <w:lang w:val="hy-AM"/>
        </w:rPr>
        <w:t xml:space="preserve"> կետ</w:t>
      </w:r>
      <w:r w:rsidRPr="007F6369">
        <w:rPr>
          <w:rFonts w:ascii="GHEA Grapalat" w:hAnsi="GHEA Grapalat"/>
          <w:lang w:val="hy-AM"/>
        </w:rPr>
        <w:t xml:space="preserve"> 78)</w:t>
      </w:r>
    </w:p>
  </w:footnote>
  <w:footnote w:id="5">
    <w:p w14:paraId="0D436C8C" w14:textId="6226534A" w:rsidR="00DF45E9" w:rsidRPr="007F6369" w:rsidRDefault="00DF45E9" w:rsidP="007F6369">
      <w:pPr>
        <w:pStyle w:val="FootnoteText"/>
        <w:spacing w:line="276" w:lineRule="auto"/>
        <w:jc w:val="both"/>
        <w:rPr>
          <w:rFonts w:ascii="GHEA Grapalat" w:hAnsi="GHEA Grapalat"/>
          <w:lang w:val="hy-AM"/>
        </w:rPr>
      </w:pPr>
      <w:r w:rsidRPr="007F6369">
        <w:rPr>
          <w:rStyle w:val="FootnoteReference"/>
          <w:rFonts w:ascii="GHEA Grapalat" w:hAnsi="GHEA Grapalat"/>
        </w:rPr>
        <w:footnoteRef/>
      </w:r>
      <w:r w:rsidRPr="007F6369">
        <w:rPr>
          <w:rFonts w:ascii="GHEA Grapalat" w:hAnsi="GHEA Grapalat"/>
          <w:lang w:val="hy-AM"/>
        </w:rPr>
        <w:t xml:space="preserve"> </w:t>
      </w:r>
      <w:r w:rsidR="00177121" w:rsidRPr="007F6369">
        <w:rPr>
          <w:rFonts w:ascii="GHEA Grapalat" w:hAnsi="GHEA Grapalat"/>
          <w:lang w:val="hy-AM"/>
        </w:rPr>
        <w:t>Տես Սթաբինգը և մյուսներն ընդդեմ Մեծ Բրիտանիայի (</w:t>
      </w:r>
      <w:r w:rsidRPr="007F6369">
        <w:rPr>
          <w:rFonts w:ascii="GHEA Grapalat" w:hAnsi="GHEA Grapalat"/>
          <w:lang w:val="hy-AM"/>
        </w:rPr>
        <w:t>Stubbings and Others v. the United Kingdom</w:t>
      </w:r>
      <w:r w:rsidR="00177121" w:rsidRPr="007F6369">
        <w:rPr>
          <w:rFonts w:ascii="GHEA Grapalat" w:hAnsi="GHEA Grapalat"/>
          <w:lang w:val="hy-AM"/>
        </w:rPr>
        <w:t>) գործով 1996 թվականի վճիռը, գանգատ թիվ 22083/93, 22095/93, կետեր</w:t>
      </w:r>
      <w:r w:rsidR="007F6369">
        <w:rPr>
          <w:rFonts w:ascii="GHEA Grapalat" w:hAnsi="GHEA Grapalat"/>
          <w:lang w:val="hy-AM"/>
        </w:rPr>
        <w:t xml:space="preserve"> 51, </w:t>
      </w:r>
      <w:r w:rsidRPr="007F6369">
        <w:rPr>
          <w:rFonts w:ascii="GHEA Grapalat" w:hAnsi="GHEA Grapalat"/>
          <w:lang w:val="hy-AM"/>
        </w:rPr>
        <w:t>52)</w:t>
      </w:r>
    </w:p>
  </w:footnote>
  <w:footnote w:id="6">
    <w:p w14:paraId="6CFB9FE2" w14:textId="7DAE7C46" w:rsidR="007E0DAB" w:rsidRPr="007F6369" w:rsidRDefault="007E0DAB" w:rsidP="007F6369">
      <w:pPr>
        <w:pStyle w:val="FootnoteText"/>
        <w:jc w:val="both"/>
        <w:rPr>
          <w:rFonts w:ascii="GHEA Grapalat" w:hAnsi="GHEA Grapalat"/>
          <w:lang w:val="hy-AM"/>
        </w:rPr>
      </w:pPr>
      <w:r w:rsidRPr="007F6369">
        <w:rPr>
          <w:rStyle w:val="FootnoteReference"/>
          <w:rFonts w:ascii="GHEA Grapalat" w:hAnsi="GHEA Grapalat"/>
        </w:rPr>
        <w:footnoteRef/>
      </w:r>
      <w:r w:rsidR="00AC5DD7" w:rsidRPr="007F6369">
        <w:rPr>
          <w:rFonts w:ascii="GHEA Grapalat" w:hAnsi="GHEA Grapalat"/>
          <w:lang w:val="hy-AM"/>
        </w:rPr>
        <w:t xml:space="preserve"> </w:t>
      </w:r>
      <w:r w:rsidRPr="007F6369">
        <w:rPr>
          <w:rFonts w:ascii="GHEA Grapalat" w:hAnsi="GHEA Grapalat"/>
          <w:lang w:val="hy-AM"/>
        </w:rPr>
        <w:t xml:space="preserve"> </w:t>
      </w:r>
      <w:r w:rsidR="00AC5DD7" w:rsidRPr="007F6369">
        <w:rPr>
          <w:rFonts w:ascii="GHEA Grapalat" w:hAnsi="GHEA Grapalat"/>
          <w:lang w:val="hy-AM"/>
        </w:rPr>
        <w:t>Տե՛ս Տոլստոյ Միլոսլավսկին ընդդեմ Մեծ Բրիտանիայի (</w:t>
      </w:r>
      <w:r w:rsidRPr="007F6369">
        <w:rPr>
          <w:rFonts w:ascii="GHEA Grapalat" w:hAnsi="GHEA Grapalat"/>
          <w:lang w:val="hy-AM"/>
        </w:rPr>
        <w:t>Tolstoy Miloslavsky v. the United Kingdom</w:t>
      </w:r>
      <w:r w:rsidR="00AC5DD7" w:rsidRPr="007F6369">
        <w:rPr>
          <w:rFonts w:ascii="GHEA Grapalat" w:hAnsi="GHEA Grapalat"/>
          <w:lang w:val="hy-AM"/>
        </w:rPr>
        <w:t xml:space="preserve">) գործով 1995 թվականի վճիռը, գանգատ թիվ </w:t>
      </w:r>
      <w:r w:rsidR="00F329E0" w:rsidRPr="007F6369">
        <w:rPr>
          <w:rFonts w:ascii="GHEA Grapalat" w:hAnsi="GHEA Grapalat"/>
          <w:lang w:val="hy-AM"/>
        </w:rPr>
        <w:t>18139/91 կետեր</w:t>
      </w:r>
      <w:r w:rsidRPr="007F6369">
        <w:rPr>
          <w:rFonts w:ascii="GHEA Grapalat" w:hAnsi="GHEA Grapalat"/>
          <w:lang w:val="hy-AM"/>
        </w:rPr>
        <w:t xml:space="preserve"> 62-67</w:t>
      </w:r>
    </w:p>
  </w:footnote>
  <w:footnote w:id="7">
    <w:p w14:paraId="5546766A" w14:textId="3813FE77" w:rsidR="007E0DAB" w:rsidRPr="007F6369" w:rsidRDefault="007E0DAB" w:rsidP="007F6369">
      <w:pPr>
        <w:pStyle w:val="FootnoteText"/>
        <w:jc w:val="both"/>
        <w:rPr>
          <w:rFonts w:ascii="GHEA Grapalat" w:hAnsi="GHEA Grapalat"/>
          <w:lang w:val="hy-AM"/>
        </w:rPr>
      </w:pPr>
      <w:r w:rsidRPr="007F6369">
        <w:rPr>
          <w:rStyle w:val="FootnoteReference"/>
          <w:rFonts w:ascii="GHEA Grapalat" w:hAnsi="GHEA Grapalat"/>
        </w:rPr>
        <w:footnoteRef/>
      </w:r>
      <w:r w:rsidRPr="007F6369">
        <w:rPr>
          <w:rFonts w:ascii="GHEA Grapalat" w:hAnsi="GHEA Grapalat"/>
          <w:lang w:val="hy-AM"/>
        </w:rPr>
        <w:t xml:space="preserve"> </w:t>
      </w:r>
      <w:r w:rsidR="00F329E0" w:rsidRPr="007F6369">
        <w:rPr>
          <w:rFonts w:ascii="GHEA Grapalat" w:hAnsi="GHEA Grapalat"/>
          <w:lang w:val="hy-AM"/>
        </w:rPr>
        <w:t>Ռ.</w:t>
      </w:r>
      <w:r w:rsidR="002962DD" w:rsidRPr="007F6369">
        <w:rPr>
          <w:rFonts w:ascii="GHEA Grapalat" w:hAnsi="GHEA Grapalat"/>
          <w:lang w:val="hy-AM"/>
        </w:rPr>
        <w:t>Պ.</w:t>
      </w:r>
      <w:r w:rsidR="007F6369">
        <w:rPr>
          <w:rFonts w:ascii="GHEA Grapalat" w:hAnsi="GHEA Grapalat"/>
          <w:lang w:val="hy-AM"/>
        </w:rPr>
        <w:t>-ն</w:t>
      </w:r>
      <w:r w:rsidR="002962DD" w:rsidRPr="007F6369">
        <w:rPr>
          <w:rFonts w:ascii="GHEA Grapalat" w:hAnsi="GHEA Grapalat"/>
          <w:lang w:val="hy-AM"/>
        </w:rPr>
        <w:t xml:space="preserve"> և այլոք ընդդեմ Մեծ Բրիտանիայի (</w:t>
      </w:r>
      <w:r w:rsidRPr="007F6369">
        <w:rPr>
          <w:rFonts w:ascii="GHEA Grapalat" w:hAnsi="GHEA Grapalat"/>
          <w:lang w:val="hy-AM"/>
        </w:rPr>
        <w:t>R.P. and Others v. the United Kingdom</w:t>
      </w:r>
      <w:r w:rsidR="002962DD" w:rsidRPr="007F6369">
        <w:rPr>
          <w:rFonts w:ascii="GHEA Grapalat" w:hAnsi="GHEA Grapalat"/>
          <w:lang w:val="hy-AM"/>
        </w:rPr>
        <w:t>) գործով 2012 թվականի վճիռ</w:t>
      </w:r>
      <w:r w:rsidR="007F6369">
        <w:rPr>
          <w:rFonts w:ascii="GHEA Grapalat" w:hAnsi="GHEA Grapalat"/>
          <w:lang w:val="hy-AM"/>
        </w:rPr>
        <w:t>ը,</w:t>
      </w:r>
      <w:r w:rsidR="002962DD" w:rsidRPr="007F6369">
        <w:rPr>
          <w:rFonts w:ascii="GHEA Grapalat" w:hAnsi="GHEA Grapalat"/>
          <w:lang w:val="hy-AM"/>
        </w:rPr>
        <w:t xml:space="preserve"> գանգատ 38245/08, կետեր</w:t>
      </w:r>
      <w:r w:rsidRPr="007F6369">
        <w:rPr>
          <w:rFonts w:ascii="GHEA Grapalat" w:hAnsi="GHEA Grapalat"/>
          <w:lang w:val="hy-AM"/>
        </w:rPr>
        <w:t>63-67</w:t>
      </w:r>
    </w:p>
  </w:footnote>
  <w:footnote w:id="8">
    <w:p w14:paraId="08D473CC" w14:textId="00E2468D" w:rsidR="00E17883" w:rsidRPr="007F6369" w:rsidRDefault="00E17883" w:rsidP="007F6369">
      <w:pPr>
        <w:pStyle w:val="FootnoteText"/>
        <w:jc w:val="both"/>
        <w:rPr>
          <w:rFonts w:ascii="GHEA Grapalat" w:hAnsi="GHEA Grapalat"/>
          <w:lang w:val="hy-AM"/>
        </w:rPr>
      </w:pPr>
      <w:r w:rsidRPr="007F6369">
        <w:rPr>
          <w:rStyle w:val="FootnoteReference"/>
          <w:rFonts w:ascii="GHEA Grapalat" w:hAnsi="GHEA Grapalat"/>
        </w:rPr>
        <w:footnoteRef/>
      </w:r>
      <w:r w:rsidRPr="007F6369">
        <w:rPr>
          <w:rFonts w:ascii="GHEA Grapalat" w:hAnsi="GHEA Grapalat"/>
          <w:lang w:val="hy-AM"/>
        </w:rPr>
        <w:t xml:space="preserve"> </w:t>
      </w:r>
      <w:r w:rsidR="00B20C8E" w:rsidRPr="007F6369">
        <w:rPr>
          <w:rFonts w:ascii="GHEA Grapalat" w:hAnsi="GHEA Grapalat"/>
          <w:lang w:val="hy-AM"/>
        </w:rPr>
        <w:t>Մոմսիլովիչ ընդդեմ Խորվաթիայի (</w:t>
      </w:r>
      <w:r w:rsidRPr="007F6369">
        <w:rPr>
          <w:rFonts w:ascii="GHEA Grapalat" w:hAnsi="GHEA Grapalat"/>
          <w:lang w:val="hy-AM"/>
        </w:rPr>
        <w:t>Momčilović v. Croatia</w:t>
      </w:r>
      <w:r w:rsidR="00B20C8E" w:rsidRPr="007F6369">
        <w:rPr>
          <w:rFonts w:ascii="GHEA Grapalat" w:hAnsi="GHEA Grapalat"/>
          <w:lang w:val="hy-AM"/>
        </w:rPr>
        <w:t>) գործով 2015 թվականի վճիռ</w:t>
      </w:r>
      <w:r w:rsidR="007F6369">
        <w:rPr>
          <w:rFonts w:ascii="GHEA Grapalat" w:hAnsi="GHEA Grapalat"/>
          <w:lang w:val="hy-AM"/>
        </w:rPr>
        <w:t>ը,</w:t>
      </w:r>
      <w:r w:rsidR="00B20C8E" w:rsidRPr="007F6369">
        <w:rPr>
          <w:rFonts w:ascii="GHEA Grapalat" w:hAnsi="GHEA Grapalat"/>
          <w:lang w:val="hy-AM"/>
        </w:rPr>
        <w:t xml:space="preserve"> գանգատ </w:t>
      </w:r>
      <w:r w:rsidR="007F6369">
        <w:rPr>
          <w:rFonts w:ascii="GHEA Grapalat" w:hAnsi="GHEA Grapalat"/>
          <w:lang w:val="hy-AM"/>
        </w:rPr>
        <w:t xml:space="preserve">թիվ </w:t>
      </w:r>
      <w:r w:rsidR="00B20C8E" w:rsidRPr="007F6369">
        <w:rPr>
          <w:rFonts w:ascii="GHEA Grapalat" w:hAnsi="GHEA Grapalat"/>
          <w:lang w:val="hy-AM"/>
        </w:rPr>
        <w:t xml:space="preserve">11239/11 կետեր  </w:t>
      </w:r>
      <w:r w:rsidRPr="007F6369">
        <w:rPr>
          <w:rFonts w:ascii="GHEA Grapalat" w:hAnsi="GHEA Grapalat"/>
          <w:lang w:val="hy-AM"/>
        </w:rPr>
        <w:t>55-57</w:t>
      </w:r>
    </w:p>
  </w:footnote>
  <w:footnote w:id="9">
    <w:p w14:paraId="27ED5575" w14:textId="33419358" w:rsidR="006F5AD8" w:rsidRPr="007F6369" w:rsidRDefault="006F5AD8" w:rsidP="007F6369">
      <w:pPr>
        <w:pStyle w:val="FootnoteText"/>
        <w:spacing w:line="276" w:lineRule="auto"/>
        <w:jc w:val="both"/>
        <w:rPr>
          <w:rFonts w:ascii="GHEA Grapalat" w:hAnsi="GHEA Grapalat"/>
          <w:lang w:val="hy-AM"/>
        </w:rPr>
      </w:pPr>
      <w:r w:rsidRPr="007F6369">
        <w:rPr>
          <w:rStyle w:val="FootnoteReference"/>
          <w:rFonts w:ascii="GHEA Grapalat" w:hAnsi="GHEA Grapalat"/>
        </w:rPr>
        <w:footnoteRef/>
      </w:r>
      <w:r w:rsidRPr="007F6369">
        <w:rPr>
          <w:rFonts w:ascii="GHEA Grapalat" w:hAnsi="GHEA Grapalat"/>
          <w:lang w:val="hy-AM"/>
        </w:rPr>
        <w:t xml:space="preserve"> </w:t>
      </w:r>
      <w:r w:rsidR="0073453D" w:rsidRPr="007F6369">
        <w:rPr>
          <w:rFonts w:ascii="GHEA Grapalat" w:hAnsi="GHEA Grapalat"/>
          <w:lang w:val="hy-AM"/>
        </w:rPr>
        <w:t>Ֆիլիսն ընդդեմ Հունաստանի (Philis v. Greece) գործով</w:t>
      </w:r>
      <w:r w:rsidRPr="007F6369">
        <w:rPr>
          <w:rFonts w:ascii="GHEA Grapalat" w:hAnsi="GHEA Grapalat"/>
          <w:lang w:val="hy-AM"/>
        </w:rPr>
        <w:t xml:space="preserve"> </w:t>
      </w:r>
      <w:r w:rsidR="0073453D" w:rsidRPr="007F6369">
        <w:rPr>
          <w:rFonts w:ascii="GHEA Grapalat" w:hAnsi="GHEA Grapalat"/>
          <w:lang w:val="hy-AM"/>
        </w:rPr>
        <w:t>1991 թվականի վճիռ</w:t>
      </w:r>
      <w:r w:rsidR="005A6909">
        <w:rPr>
          <w:rFonts w:ascii="GHEA Grapalat" w:hAnsi="GHEA Grapalat"/>
          <w:lang w:val="hy-AM"/>
        </w:rPr>
        <w:t>ը</w:t>
      </w:r>
      <w:r w:rsidR="0073453D" w:rsidRPr="007F6369">
        <w:rPr>
          <w:rFonts w:ascii="GHEA Grapalat" w:hAnsi="GHEA Grapalat"/>
          <w:lang w:val="hy-AM"/>
        </w:rPr>
        <w:t>, գանգատ թիվ 12750/87, 13780/88</w:t>
      </w:r>
      <w:r w:rsidR="005A6909">
        <w:rPr>
          <w:rFonts w:ascii="GHEA Grapalat" w:hAnsi="GHEA Grapalat"/>
          <w:lang w:val="hy-AM"/>
        </w:rPr>
        <w:t>,</w:t>
      </w:r>
      <w:r w:rsidR="0073453D" w:rsidRPr="007F6369">
        <w:rPr>
          <w:rFonts w:ascii="GHEA Grapalat" w:hAnsi="GHEA Grapalat"/>
          <w:lang w:val="hy-AM"/>
        </w:rPr>
        <w:t xml:space="preserve"> 14003/88, կետ </w:t>
      </w:r>
      <w:r w:rsidRPr="007F6369">
        <w:rPr>
          <w:rFonts w:ascii="GHEA Grapalat" w:hAnsi="GHEA Grapalat"/>
          <w:lang w:val="hy-AM"/>
        </w:rPr>
        <w:t xml:space="preserve">59; </w:t>
      </w:r>
      <w:r w:rsidR="001376B2" w:rsidRPr="007F6369">
        <w:rPr>
          <w:rFonts w:ascii="GHEA Grapalat" w:hAnsi="GHEA Grapalat"/>
          <w:lang w:val="hy-AM"/>
        </w:rPr>
        <w:t>Դե Ժուֆրե դե լա Պրադելլն ընդդեմ Ֆրանսիայի (</w:t>
      </w:r>
      <w:r w:rsidRPr="007F6369">
        <w:rPr>
          <w:rFonts w:ascii="GHEA Grapalat" w:hAnsi="GHEA Grapalat"/>
          <w:lang w:val="hy-AM"/>
        </w:rPr>
        <w:t>De Ge</w:t>
      </w:r>
      <w:r w:rsidR="001376B2" w:rsidRPr="007F6369">
        <w:rPr>
          <w:rFonts w:ascii="GHEA Grapalat" w:hAnsi="GHEA Grapalat"/>
          <w:lang w:val="hy-AM"/>
        </w:rPr>
        <w:t>ouffre de la Pradelle v. France) գործով,  1992 թվականի վճիռ</w:t>
      </w:r>
      <w:r w:rsidR="005A6909">
        <w:rPr>
          <w:rFonts w:ascii="GHEA Grapalat" w:hAnsi="GHEA Grapalat"/>
          <w:lang w:val="hy-AM"/>
        </w:rPr>
        <w:t>ը</w:t>
      </w:r>
      <w:r w:rsidR="001376B2" w:rsidRPr="007F6369">
        <w:rPr>
          <w:rFonts w:ascii="GHEA Grapalat" w:hAnsi="GHEA Grapalat"/>
          <w:lang w:val="hy-AM"/>
        </w:rPr>
        <w:t>, գանգատ թիվ 12964/87, կետ</w:t>
      </w:r>
      <w:r w:rsidRPr="007F6369">
        <w:rPr>
          <w:rFonts w:ascii="GHEA Grapalat" w:hAnsi="GHEA Grapalat"/>
          <w:lang w:val="hy-AM"/>
        </w:rPr>
        <w:t xml:space="preserve"> 28; </w:t>
      </w:r>
      <w:r w:rsidR="00ED3507" w:rsidRPr="007F6369">
        <w:rPr>
          <w:rFonts w:ascii="GHEA Grapalat" w:hAnsi="GHEA Grapalat"/>
          <w:lang w:val="hy-AM"/>
        </w:rPr>
        <w:t>Ստա</w:t>
      </w:r>
      <w:r w:rsidR="005A6909">
        <w:rPr>
          <w:rFonts w:ascii="GHEA Grapalat" w:hAnsi="GHEA Grapalat"/>
          <w:lang w:val="hy-AM"/>
        </w:rPr>
        <w:t>ն</w:t>
      </w:r>
      <w:r w:rsidR="00ED3507" w:rsidRPr="007F6369">
        <w:rPr>
          <w:rFonts w:ascii="GHEA Grapalat" w:hAnsi="GHEA Grapalat"/>
          <w:lang w:val="hy-AM"/>
        </w:rPr>
        <w:t>ևն ընդդեմ Բուլղարիայի (Stanev v. Bulgaria [GC]</w:t>
      </w:r>
      <w:r w:rsidR="005A6909">
        <w:rPr>
          <w:rFonts w:ascii="GHEA Grapalat" w:hAnsi="GHEA Grapalat"/>
          <w:lang w:val="hy-AM"/>
        </w:rPr>
        <w:t>)</w:t>
      </w:r>
      <w:r w:rsidR="00ED3507" w:rsidRPr="007F6369">
        <w:rPr>
          <w:rFonts w:ascii="GHEA Grapalat" w:hAnsi="GHEA Grapalat"/>
          <w:lang w:val="hy-AM"/>
        </w:rPr>
        <w:t xml:space="preserve"> գործով 2012 թվականի վճիռը, գանգատ թիվ 36760/06, կետ</w:t>
      </w:r>
      <w:r w:rsidRPr="007F6369">
        <w:rPr>
          <w:rFonts w:ascii="GHEA Grapalat" w:hAnsi="GHEA Grapalat"/>
          <w:lang w:val="hy-AM"/>
        </w:rPr>
        <w:t xml:space="preserve"> 229; </w:t>
      </w:r>
      <w:r w:rsidR="00FA3750" w:rsidRPr="007F6369">
        <w:rPr>
          <w:rFonts w:ascii="GHEA Grapalat" w:hAnsi="GHEA Grapalat"/>
          <w:lang w:val="hy-AM"/>
        </w:rPr>
        <w:t>Բական ընդդեմ Հունգարիայի (</w:t>
      </w:r>
      <w:r w:rsidRPr="007F6369">
        <w:rPr>
          <w:rFonts w:ascii="GHEA Grapalat" w:hAnsi="GHEA Grapalat"/>
          <w:lang w:val="hy-AM"/>
        </w:rPr>
        <w:t>Baka v. Hungary [GC]</w:t>
      </w:r>
      <w:r w:rsidR="00FA3750" w:rsidRPr="007F6369">
        <w:rPr>
          <w:rFonts w:ascii="GHEA Grapalat" w:hAnsi="GHEA Grapalat"/>
          <w:lang w:val="hy-AM"/>
        </w:rPr>
        <w:t>)</w:t>
      </w:r>
      <w:r w:rsidRPr="007F6369">
        <w:rPr>
          <w:rFonts w:ascii="GHEA Grapalat" w:hAnsi="GHEA Grapalat"/>
          <w:lang w:val="hy-AM"/>
        </w:rPr>
        <w:t xml:space="preserve"> </w:t>
      </w:r>
      <w:r w:rsidR="00FA3750" w:rsidRPr="007F6369">
        <w:rPr>
          <w:rFonts w:ascii="GHEA Grapalat" w:hAnsi="GHEA Grapalat"/>
          <w:lang w:val="hy-AM"/>
        </w:rPr>
        <w:t>գործով 2016 թվականի վճիռ</w:t>
      </w:r>
      <w:r w:rsidR="005A6909">
        <w:rPr>
          <w:rFonts w:ascii="GHEA Grapalat" w:hAnsi="GHEA Grapalat"/>
          <w:lang w:val="hy-AM"/>
        </w:rPr>
        <w:t>ը</w:t>
      </w:r>
      <w:r w:rsidR="00FA3750" w:rsidRPr="007F6369">
        <w:rPr>
          <w:rFonts w:ascii="GHEA Grapalat" w:hAnsi="GHEA Grapalat"/>
          <w:lang w:val="hy-AM"/>
        </w:rPr>
        <w:t>, գանգատ թիվ 20261/12, կետ</w:t>
      </w:r>
      <w:r w:rsidRPr="007F6369">
        <w:rPr>
          <w:rFonts w:ascii="GHEA Grapalat" w:hAnsi="GHEA Grapalat"/>
          <w:lang w:val="hy-AM"/>
        </w:rPr>
        <w:t xml:space="preserve"> 120; </w:t>
      </w:r>
      <w:r w:rsidR="00D4272A" w:rsidRPr="007F6369">
        <w:rPr>
          <w:rFonts w:ascii="GHEA Grapalat" w:hAnsi="GHEA Grapalat"/>
          <w:lang w:val="hy-AM"/>
        </w:rPr>
        <w:t>Նաիտ Լիմանն ընդդեմ Շվեյցարիայի (</w:t>
      </w:r>
      <w:r w:rsidRPr="007F6369">
        <w:rPr>
          <w:rFonts w:ascii="GHEA Grapalat" w:hAnsi="GHEA Grapalat"/>
          <w:lang w:val="hy-AM"/>
        </w:rPr>
        <w:t>Naït-Liman v. Switzerland [GC]</w:t>
      </w:r>
      <w:r w:rsidR="00D4272A" w:rsidRPr="007F6369">
        <w:rPr>
          <w:rFonts w:ascii="GHEA Grapalat" w:hAnsi="GHEA Grapalat"/>
          <w:lang w:val="hy-AM"/>
        </w:rPr>
        <w:t>) գործով 2018 թվականի վճիռ</w:t>
      </w:r>
      <w:r w:rsidR="005A6909">
        <w:rPr>
          <w:rFonts w:ascii="GHEA Grapalat" w:hAnsi="GHEA Grapalat"/>
          <w:lang w:val="hy-AM"/>
        </w:rPr>
        <w:t>ը</w:t>
      </w:r>
      <w:r w:rsidRPr="007F6369">
        <w:rPr>
          <w:rFonts w:ascii="GHEA Grapalat" w:hAnsi="GHEA Grapalat"/>
          <w:lang w:val="hy-AM"/>
        </w:rPr>
        <w:t>,</w:t>
      </w:r>
      <w:r w:rsidR="00D4272A" w:rsidRPr="007F6369">
        <w:rPr>
          <w:rFonts w:ascii="GHEA Grapalat" w:hAnsi="GHEA Grapalat"/>
          <w:lang w:val="hy-AM"/>
        </w:rPr>
        <w:t xml:space="preserve"> գանգատ թիվ 51357/07, կետ</w:t>
      </w:r>
      <w:r w:rsidRPr="007F6369">
        <w:rPr>
          <w:rFonts w:ascii="GHEA Grapalat" w:hAnsi="GHEA Grapalat"/>
          <w:lang w:val="hy-AM"/>
        </w:rPr>
        <w:t xml:space="preserve"> 113</w:t>
      </w:r>
      <w:r w:rsidR="00947D01" w:rsidRPr="007F6369">
        <w:rPr>
          <w:rFonts w:ascii="GHEA Grapalat" w:hAnsi="GHEA Grapalat"/>
          <w:lang w:val="hy-AM"/>
        </w:rPr>
        <w:t>, Գոլդերն ընդդեմ Մեծ Բրիտանիայի (</w:t>
      </w:r>
      <w:r w:rsidR="0083444F" w:rsidRPr="007F6369">
        <w:rPr>
          <w:rFonts w:ascii="GHEA Grapalat" w:hAnsi="GHEA Grapalat"/>
          <w:lang w:val="hy-AM"/>
        </w:rPr>
        <w:t>Golder v. the United Kingdom</w:t>
      </w:r>
      <w:r w:rsidR="00947D01" w:rsidRPr="007F6369">
        <w:rPr>
          <w:rFonts w:ascii="GHEA Grapalat" w:hAnsi="GHEA Grapalat"/>
          <w:lang w:val="hy-AM"/>
        </w:rPr>
        <w:t>) գործով, 1975 թվականի վճիռ</w:t>
      </w:r>
      <w:r w:rsidR="005A6909">
        <w:rPr>
          <w:rFonts w:ascii="GHEA Grapalat" w:hAnsi="GHEA Grapalat"/>
          <w:lang w:val="hy-AM"/>
        </w:rPr>
        <w:t>ը</w:t>
      </w:r>
      <w:r w:rsidR="00947D01" w:rsidRPr="007F6369">
        <w:rPr>
          <w:rFonts w:ascii="GHEA Grapalat" w:hAnsi="GHEA Grapalat"/>
          <w:lang w:val="hy-AM"/>
        </w:rPr>
        <w:t>, գանգատ թիվ 4451/70, կետ  38</w:t>
      </w:r>
    </w:p>
  </w:footnote>
  <w:footnote w:id="10">
    <w:p w14:paraId="12F4BF82" w14:textId="24FE2FB1" w:rsidR="00DF45E9" w:rsidRPr="007F6369" w:rsidRDefault="00DF45E9" w:rsidP="007F6369">
      <w:pPr>
        <w:pStyle w:val="FootnoteText"/>
        <w:spacing w:line="276" w:lineRule="auto"/>
        <w:jc w:val="both"/>
        <w:rPr>
          <w:rFonts w:ascii="GHEA Grapalat" w:hAnsi="GHEA Grapalat"/>
          <w:lang w:val="hy-AM"/>
        </w:rPr>
      </w:pPr>
      <w:r w:rsidRPr="007F6369">
        <w:rPr>
          <w:rStyle w:val="FootnoteReference"/>
          <w:rFonts w:ascii="GHEA Grapalat" w:hAnsi="GHEA Grapalat"/>
        </w:rPr>
        <w:footnoteRef/>
      </w:r>
      <w:r w:rsidRPr="007F6369">
        <w:rPr>
          <w:rFonts w:ascii="GHEA Grapalat" w:hAnsi="GHEA Grapalat"/>
          <w:lang w:val="hy-AM"/>
        </w:rPr>
        <w:t xml:space="preserve">  </w:t>
      </w:r>
      <w:r w:rsidR="00947D01" w:rsidRPr="007F6369">
        <w:rPr>
          <w:rFonts w:ascii="GHEA Grapalat" w:hAnsi="GHEA Grapalat"/>
          <w:lang w:val="hy-AM"/>
        </w:rPr>
        <w:t>Նաիտ Լիմանն ընդդեմ Շվեյցարիայի (Naït-Liman v. Switzerland [GC]) գործով 2018 թվականի վճիռ</w:t>
      </w:r>
      <w:r w:rsidR="005A6909">
        <w:rPr>
          <w:rFonts w:ascii="GHEA Grapalat" w:hAnsi="GHEA Grapalat"/>
          <w:lang w:val="hy-AM"/>
        </w:rPr>
        <w:t>ը</w:t>
      </w:r>
      <w:r w:rsidR="00947D01" w:rsidRPr="007F6369">
        <w:rPr>
          <w:rFonts w:ascii="GHEA Grapalat" w:hAnsi="GHEA Grapalat"/>
          <w:lang w:val="hy-AM"/>
        </w:rPr>
        <w:t>, գանգատ թիվ 51357/07, կետեր</w:t>
      </w:r>
      <w:r w:rsidR="005A6909">
        <w:rPr>
          <w:rFonts w:ascii="GHEA Grapalat" w:hAnsi="GHEA Grapalat"/>
          <w:lang w:val="hy-AM"/>
        </w:rPr>
        <w:t xml:space="preserve"> 114, </w:t>
      </w:r>
      <w:r w:rsidR="00947D01" w:rsidRPr="007F6369">
        <w:rPr>
          <w:rFonts w:ascii="GHEA Grapalat" w:hAnsi="GHEA Grapalat"/>
          <w:lang w:val="hy-AM"/>
        </w:rPr>
        <w:t>115, Աշինգդեյն ընդդեմ Մե</w:t>
      </w:r>
      <w:r w:rsidR="00B20C8E" w:rsidRPr="007F6369">
        <w:rPr>
          <w:rFonts w:ascii="GHEA Grapalat" w:hAnsi="GHEA Grapalat"/>
          <w:lang w:val="hy-AM"/>
        </w:rPr>
        <w:t>ծ</w:t>
      </w:r>
      <w:r w:rsidR="00947D01" w:rsidRPr="007F6369">
        <w:rPr>
          <w:rFonts w:ascii="GHEA Grapalat" w:hAnsi="GHEA Grapalat"/>
          <w:lang w:val="hy-AM"/>
        </w:rPr>
        <w:t xml:space="preserve"> Բրիտանիայի</w:t>
      </w:r>
      <w:r w:rsidRPr="007F6369">
        <w:rPr>
          <w:rFonts w:ascii="GHEA Grapalat" w:hAnsi="GHEA Grapalat"/>
          <w:lang w:val="hy-AM"/>
        </w:rPr>
        <w:t xml:space="preserve"> (Ashingdane v. the United Kingdom</w:t>
      </w:r>
      <w:r w:rsidR="00947D01" w:rsidRPr="007F6369">
        <w:rPr>
          <w:rFonts w:ascii="GHEA Grapalat" w:hAnsi="GHEA Grapalat"/>
          <w:lang w:val="hy-AM"/>
        </w:rPr>
        <w:t>) գործով 1985 թվականի վճիռ</w:t>
      </w:r>
      <w:r w:rsidR="005A6909">
        <w:rPr>
          <w:rFonts w:ascii="GHEA Grapalat" w:hAnsi="GHEA Grapalat"/>
          <w:lang w:val="hy-AM"/>
        </w:rPr>
        <w:t>ը</w:t>
      </w:r>
      <w:r w:rsidR="00947D01" w:rsidRPr="007F6369">
        <w:rPr>
          <w:rFonts w:ascii="GHEA Grapalat" w:hAnsi="GHEA Grapalat"/>
          <w:lang w:val="hy-AM"/>
        </w:rPr>
        <w:t>, գանգատ թիվ 8225/78, կետ</w:t>
      </w:r>
      <w:r w:rsidRPr="007F6369">
        <w:rPr>
          <w:rFonts w:ascii="GHEA Grapalat" w:hAnsi="GHEA Grapalat"/>
          <w:lang w:val="hy-AM"/>
        </w:rPr>
        <w:t xml:space="preserve"> 57; </w:t>
      </w:r>
      <w:r w:rsidR="004A53B0" w:rsidRPr="007F6369">
        <w:rPr>
          <w:rFonts w:ascii="GHEA Grapalat" w:hAnsi="GHEA Grapalat"/>
          <w:lang w:val="hy-AM"/>
        </w:rPr>
        <w:t>Ֆայեդն ընդդեմ Մեծ Բրիտանիայի (</w:t>
      </w:r>
      <w:r w:rsidRPr="007F6369">
        <w:rPr>
          <w:rFonts w:ascii="GHEA Grapalat" w:hAnsi="GHEA Grapalat"/>
          <w:lang w:val="hy-AM"/>
        </w:rPr>
        <w:t>Fayed v. the United Kingdom</w:t>
      </w:r>
      <w:r w:rsidR="004A53B0" w:rsidRPr="007F6369">
        <w:rPr>
          <w:rFonts w:ascii="GHEA Grapalat" w:hAnsi="GHEA Grapalat"/>
          <w:lang w:val="hy-AM"/>
        </w:rPr>
        <w:t>) գործով 1994 թվականի վճիռ</w:t>
      </w:r>
      <w:r w:rsidR="005A6909">
        <w:rPr>
          <w:rFonts w:ascii="GHEA Grapalat" w:hAnsi="GHEA Grapalat"/>
          <w:lang w:val="hy-AM"/>
        </w:rPr>
        <w:t>ը</w:t>
      </w:r>
      <w:r w:rsidRPr="007F6369">
        <w:rPr>
          <w:rFonts w:ascii="GHEA Grapalat" w:hAnsi="GHEA Grapalat"/>
          <w:lang w:val="hy-AM"/>
        </w:rPr>
        <w:t>,</w:t>
      </w:r>
      <w:r w:rsidR="004A53B0" w:rsidRPr="007F6369">
        <w:rPr>
          <w:rFonts w:ascii="GHEA Grapalat" w:hAnsi="GHEA Grapalat"/>
          <w:lang w:val="hy-AM"/>
        </w:rPr>
        <w:t xml:space="preserve"> գանգատ թիվ 17101/90, կետ</w:t>
      </w:r>
      <w:r w:rsidRPr="007F6369">
        <w:rPr>
          <w:rFonts w:ascii="GHEA Grapalat" w:hAnsi="GHEA Grapalat"/>
          <w:lang w:val="hy-AM"/>
        </w:rPr>
        <w:t xml:space="preserve"> 65; </w:t>
      </w:r>
      <w:r w:rsidR="00FF7841" w:rsidRPr="007F6369">
        <w:rPr>
          <w:rFonts w:ascii="GHEA Grapalat" w:hAnsi="GHEA Grapalat"/>
          <w:lang w:val="hy-AM"/>
        </w:rPr>
        <w:t>Մարկովիչը և մյուսներն ընդդեմ Իտալիայի (</w:t>
      </w:r>
      <w:r w:rsidRPr="007F6369">
        <w:rPr>
          <w:rFonts w:ascii="GHEA Grapalat" w:hAnsi="GHEA Grapalat"/>
          <w:lang w:val="hy-AM"/>
        </w:rPr>
        <w:t>Markovic and Others v. Italy [GC]</w:t>
      </w:r>
      <w:r w:rsidR="00FF7841" w:rsidRPr="007F6369">
        <w:rPr>
          <w:rFonts w:ascii="GHEA Grapalat" w:hAnsi="GHEA Grapalat"/>
          <w:lang w:val="hy-AM"/>
        </w:rPr>
        <w:t>) գործով 2006 թվականի վճիռ</w:t>
      </w:r>
      <w:r w:rsidR="005A6909">
        <w:rPr>
          <w:rFonts w:ascii="GHEA Grapalat" w:hAnsi="GHEA Grapalat"/>
          <w:lang w:val="hy-AM"/>
        </w:rPr>
        <w:t>ը</w:t>
      </w:r>
      <w:r w:rsidR="00FF7841" w:rsidRPr="007F6369">
        <w:rPr>
          <w:rFonts w:ascii="GHEA Grapalat" w:hAnsi="GHEA Grapalat"/>
          <w:lang w:val="hy-AM"/>
        </w:rPr>
        <w:t>, գանգատ թիվ 1398/03,</w:t>
      </w:r>
      <w:r w:rsidRPr="007F6369">
        <w:rPr>
          <w:rFonts w:ascii="GHEA Grapalat" w:hAnsi="GHEA Grapalat"/>
          <w:lang w:val="hy-AM"/>
        </w:rPr>
        <w:t xml:space="preserve"> </w:t>
      </w:r>
      <w:r w:rsidR="00FF7841" w:rsidRPr="007F6369">
        <w:rPr>
          <w:rFonts w:ascii="GHEA Grapalat" w:hAnsi="GHEA Grapalat"/>
          <w:lang w:val="hy-AM"/>
        </w:rPr>
        <w:t>կ</w:t>
      </w:r>
      <w:r w:rsidR="00B20C8E" w:rsidRPr="007F6369">
        <w:rPr>
          <w:rFonts w:ascii="GHEA Grapalat" w:hAnsi="GHEA Grapalat"/>
          <w:lang w:val="hy-AM"/>
        </w:rPr>
        <w:t>ե</w:t>
      </w:r>
      <w:r w:rsidR="00FF7841" w:rsidRPr="007F6369">
        <w:rPr>
          <w:rFonts w:ascii="GHEA Grapalat" w:hAnsi="GHEA Grapalat"/>
          <w:lang w:val="hy-AM"/>
        </w:rPr>
        <w:t>տ</w:t>
      </w:r>
      <w:r w:rsidR="005A6909">
        <w:rPr>
          <w:rFonts w:ascii="GHEA Grapalat" w:hAnsi="GHEA Grapalat"/>
          <w:lang w:val="hy-AM"/>
        </w:rPr>
        <w:t xml:space="preserve"> 99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686B"/>
    <w:multiLevelType w:val="hybridMultilevel"/>
    <w:tmpl w:val="5D4CC8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1412A39"/>
    <w:multiLevelType w:val="hybridMultilevel"/>
    <w:tmpl w:val="5F12BCE6"/>
    <w:lvl w:ilvl="0" w:tplc="7A72CBE4">
      <w:start w:val="1"/>
      <w:numFmt w:val="lowerRoman"/>
      <w:lvlText w:val="%1."/>
      <w:lvlJc w:val="left"/>
      <w:pPr>
        <w:ind w:left="135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B66B76"/>
    <w:multiLevelType w:val="multilevel"/>
    <w:tmpl w:val="B6485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C7"/>
    <w:rsid w:val="000001D4"/>
    <w:rsid w:val="000063DB"/>
    <w:rsid w:val="00015785"/>
    <w:rsid w:val="0003650F"/>
    <w:rsid w:val="00053D0A"/>
    <w:rsid w:val="000904DF"/>
    <w:rsid w:val="000965B4"/>
    <w:rsid w:val="000A77DB"/>
    <w:rsid w:val="000C163A"/>
    <w:rsid w:val="000C7DE3"/>
    <w:rsid w:val="000F4B93"/>
    <w:rsid w:val="001143C7"/>
    <w:rsid w:val="001158CB"/>
    <w:rsid w:val="0012232C"/>
    <w:rsid w:val="001376B2"/>
    <w:rsid w:val="00141E0F"/>
    <w:rsid w:val="001448AB"/>
    <w:rsid w:val="00147E88"/>
    <w:rsid w:val="00152554"/>
    <w:rsid w:val="00163A62"/>
    <w:rsid w:val="001665A2"/>
    <w:rsid w:val="00177121"/>
    <w:rsid w:val="001949C0"/>
    <w:rsid w:val="00197B66"/>
    <w:rsid w:val="001A39AE"/>
    <w:rsid w:val="001B5EF0"/>
    <w:rsid w:val="001C1B3E"/>
    <w:rsid w:val="001D5167"/>
    <w:rsid w:val="001D55F9"/>
    <w:rsid w:val="001F3B68"/>
    <w:rsid w:val="001F50BC"/>
    <w:rsid w:val="001F513F"/>
    <w:rsid w:val="001F5FEA"/>
    <w:rsid w:val="002027FB"/>
    <w:rsid w:val="0021173B"/>
    <w:rsid w:val="00216E7E"/>
    <w:rsid w:val="002264F7"/>
    <w:rsid w:val="00262477"/>
    <w:rsid w:val="002645EB"/>
    <w:rsid w:val="002816E0"/>
    <w:rsid w:val="00281E71"/>
    <w:rsid w:val="002947DD"/>
    <w:rsid w:val="0029493A"/>
    <w:rsid w:val="002962DD"/>
    <w:rsid w:val="00296B30"/>
    <w:rsid w:val="002C0E38"/>
    <w:rsid w:val="002E2E13"/>
    <w:rsid w:val="003003CF"/>
    <w:rsid w:val="003076BF"/>
    <w:rsid w:val="003360CB"/>
    <w:rsid w:val="003408FF"/>
    <w:rsid w:val="00355224"/>
    <w:rsid w:val="003857DE"/>
    <w:rsid w:val="003861A4"/>
    <w:rsid w:val="003A3B7A"/>
    <w:rsid w:val="003A6E47"/>
    <w:rsid w:val="003C1DA8"/>
    <w:rsid w:val="003C5D90"/>
    <w:rsid w:val="003D062C"/>
    <w:rsid w:val="003E6A34"/>
    <w:rsid w:val="00403C6D"/>
    <w:rsid w:val="004150B2"/>
    <w:rsid w:val="00433C87"/>
    <w:rsid w:val="0043445D"/>
    <w:rsid w:val="00444022"/>
    <w:rsid w:val="0045296E"/>
    <w:rsid w:val="00467F1C"/>
    <w:rsid w:val="00485BCE"/>
    <w:rsid w:val="00497CA1"/>
    <w:rsid w:val="004A4FB8"/>
    <w:rsid w:val="004A53B0"/>
    <w:rsid w:val="004A7002"/>
    <w:rsid w:val="004C5B08"/>
    <w:rsid w:val="004E228E"/>
    <w:rsid w:val="004E4C44"/>
    <w:rsid w:val="00502919"/>
    <w:rsid w:val="00512AEE"/>
    <w:rsid w:val="0052281A"/>
    <w:rsid w:val="005343D7"/>
    <w:rsid w:val="005405D8"/>
    <w:rsid w:val="005415AF"/>
    <w:rsid w:val="005513F1"/>
    <w:rsid w:val="0055380D"/>
    <w:rsid w:val="00557F19"/>
    <w:rsid w:val="0056442E"/>
    <w:rsid w:val="00564AB0"/>
    <w:rsid w:val="005764C5"/>
    <w:rsid w:val="005918EB"/>
    <w:rsid w:val="005A3C7E"/>
    <w:rsid w:val="005A6909"/>
    <w:rsid w:val="005B124A"/>
    <w:rsid w:val="005D6D9C"/>
    <w:rsid w:val="00607351"/>
    <w:rsid w:val="006166BA"/>
    <w:rsid w:val="00647AF8"/>
    <w:rsid w:val="00653B8C"/>
    <w:rsid w:val="006767A5"/>
    <w:rsid w:val="00680C27"/>
    <w:rsid w:val="006833AE"/>
    <w:rsid w:val="0069030D"/>
    <w:rsid w:val="00692C51"/>
    <w:rsid w:val="006A7422"/>
    <w:rsid w:val="006B02D3"/>
    <w:rsid w:val="006B4375"/>
    <w:rsid w:val="006C49F3"/>
    <w:rsid w:val="006F5AD8"/>
    <w:rsid w:val="007120A9"/>
    <w:rsid w:val="0073453D"/>
    <w:rsid w:val="0074423A"/>
    <w:rsid w:val="00770ADF"/>
    <w:rsid w:val="00775DB6"/>
    <w:rsid w:val="00775ECE"/>
    <w:rsid w:val="00781AB9"/>
    <w:rsid w:val="0079207E"/>
    <w:rsid w:val="0079431C"/>
    <w:rsid w:val="007B4E50"/>
    <w:rsid w:val="007B4E53"/>
    <w:rsid w:val="007C1406"/>
    <w:rsid w:val="007C1EA4"/>
    <w:rsid w:val="007D2ACB"/>
    <w:rsid w:val="007E0DAB"/>
    <w:rsid w:val="007E4A65"/>
    <w:rsid w:val="007E68E0"/>
    <w:rsid w:val="007F030C"/>
    <w:rsid w:val="007F5913"/>
    <w:rsid w:val="007F6369"/>
    <w:rsid w:val="008012F6"/>
    <w:rsid w:val="0083444F"/>
    <w:rsid w:val="0083561D"/>
    <w:rsid w:val="00844993"/>
    <w:rsid w:val="00860508"/>
    <w:rsid w:val="00864E76"/>
    <w:rsid w:val="008660BE"/>
    <w:rsid w:val="008A4C3E"/>
    <w:rsid w:val="008C2955"/>
    <w:rsid w:val="008D4DFC"/>
    <w:rsid w:val="008D722C"/>
    <w:rsid w:val="008E7361"/>
    <w:rsid w:val="008F1674"/>
    <w:rsid w:val="008F4549"/>
    <w:rsid w:val="0090371C"/>
    <w:rsid w:val="00906166"/>
    <w:rsid w:val="00907146"/>
    <w:rsid w:val="00911B18"/>
    <w:rsid w:val="0091333A"/>
    <w:rsid w:val="009201CF"/>
    <w:rsid w:val="0093181E"/>
    <w:rsid w:val="00935923"/>
    <w:rsid w:val="00944EAA"/>
    <w:rsid w:val="00947D01"/>
    <w:rsid w:val="00951133"/>
    <w:rsid w:val="0095263A"/>
    <w:rsid w:val="0096059E"/>
    <w:rsid w:val="00961107"/>
    <w:rsid w:val="00967DE5"/>
    <w:rsid w:val="00993EE1"/>
    <w:rsid w:val="009973FE"/>
    <w:rsid w:val="00997BB0"/>
    <w:rsid w:val="009A0823"/>
    <w:rsid w:val="009B0F24"/>
    <w:rsid w:val="009C36FD"/>
    <w:rsid w:val="00A1229B"/>
    <w:rsid w:val="00A153C8"/>
    <w:rsid w:val="00A229C2"/>
    <w:rsid w:val="00A41F02"/>
    <w:rsid w:val="00A510FD"/>
    <w:rsid w:val="00A77539"/>
    <w:rsid w:val="00A8472B"/>
    <w:rsid w:val="00A936FF"/>
    <w:rsid w:val="00AB497B"/>
    <w:rsid w:val="00AC533A"/>
    <w:rsid w:val="00AC5DD7"/>
    <w:rsid w:val="00AD0003"/>
    <w:rsid w:val="00AD3C77"/>
    <w:rsid w:val="00AE28C7"/>
    <w:rsid w:val="00AF6218"/>
    <w:rsid w:val="00AF7CC7"/>
    <w:rsid w:val="00B019E2"/>
    <w:rsid w:val="00B03296"/>
    <w:rsid w:val="00B10FD5"/>
    <w:rsid w:val="00B20C8E"/>
    <w:rsid w:val="00B2125E"/>
    <w:rsid w:val="00B219B9"/>
    <w:rsid w:val="00B32D3B"/>
    <w:rsid w:val="00B46335"/>
    <w:rsid w:val="00B55B6C"/>
    <w:rsid w:val="00B61E48"/>
    <w:rsid w:val="00B72286"/>
    <w:rsid w:val="00B80F28"/>
    <w:rsid w:val="00B82E5E"/>
    <w:rsid w:val="00B924A9"/>
    <w:rsid w:val="00B9794B"/>
    <w:rsid w:val="00BA52C6"/>
    <w:rsid w:val="00BA57D3"/>
    <w:rsid w:val="00BA6D89"/>
    <w:rsid w:val="00BE59FC"/>
    <w:rsid w:val="00BF2136"/>
    <w:rsid w:val="00C0061D"/>
    <w:rsid w:val="00C21293"/>
    <w:rsid w:val="00C21F2B"/>
    <w:rsid w:val="00C23B89"/>
    <w:rsid w:val="00C24A61"/>
    <w:rsid w:val="00C260AC"/>
    <w:rsid w:val="00C314D8"/>
    <w:rsid w:val="00C3437F"/>
    <w:rsid w:val="00C4069A"/>
    <w:rsid w:val="00C552FC"/>
    <w:rsid w:val="00CA1B7C"/>
    <w:rsid w:val="00CA629E"/>
    <w:rsid w:val="00CB58B7"/>
    <w:rsid w:val="00CC39C6"/>
    <w:rsid w:val="00CC4D19"/>
    <w:rsid w:val="00CF1D1F"/>
    <w:rsid w:val="00D03A44"/>
    <w:rsid w:val="00D110AE"/>
    <w:rsid w:val="00D11B63"/>
    <w:rsid w:val="00D16102"/>
    <w:rsid w:val="00D37B47"/>
    <w:rsid w:val="00D4272A"/>
    <w:rsid w:val="00D54540"/>
    <w:rsid w:val="00D81699"/>
    <w:rsid w:val="00D83969"/>
    <w:rsid w:val="00D8446A"/>
    <w:rsid w:val="00D85D40"/>
    <w:rsid w:val="00DA32F9"/>
    <w:rsid w:val="00DA7836"/>
    <w:rsid w:val="00DB6C63"/>
    <w:rsid w:val="00DC3297"/>
    <w:rsid w:val="00DC33DD"/>
    <w:rsid w:val="00DD2F03"/>
    <w:rsid w:val="00DF45E9"/>
    <w:rsid w:val="00DF4FB1"/>
    <w:rsid w:val="00E17883"/>
    <w:rsid w:val="00E34C03"/>
    <w:rsid w:val="00E56295"/>
    <w:rsid w:val="00E67A1F"/>
    <w:rsid w:val="00E702E3"/>
    <w:rsid w:val="00E7501D"/>
    <w:rsid w:val="00E83729"/>
    <w:rsid w:val="00E86342"/>
    <w:rsid w:val="00E93A08"/>
    <w:rsid w:val="00E97D33"/>
    <w:rsid w:val="00EA61DA"/>
    <w:rsid w:val="00EB7AD1"/>
    <w:rsid w:val="00EC09F8"/>
    <w:rsid w:val="00EC77E8"/>
    <w:rsid w:val="00ED3507"/>
    <w:rsid w:val="00ED6E0E"/>
    <w:rsid w:val="00EE1AF9"/>
    <w:rsid w:val="00EE247D"/>
    <w:rsid w:val="00EE2A70"/>
    <w:rsid w:val="00EE3BAE"/>
    <w:rsid w:val="00F009BF"/>
    <w:rsid w:val="00F2380F"/>
    <w:rsid w:val="00F329E0"/>
    <w:rsid w:val="00F33D04"/>
    <w:rsid w:val="00F46A3A"/>
    <w:rsid w:val="00F632D8"/>
    <w:rsid w:val="00F66835"/>
    <w:rsid w:val="00F716E3"/>
    <w:rsid w:val="00F77131"/>
    <w:rsid w:val="00F809B4"/>
    <w:rsid w:val="00F834AC"/>
    <w:rsid w:val="00F91827"/>
    <w:rsid w:val="00FA3750"/>
    <w:rsid w:val="00FB3271"/>
    <w:rsid w:val="00FD4B8E"/>
    <w:rsid w:val="00FD70F1"/>
    <w:rsid w:val="00FF1822"/>
    <w:rsid w:val="00FF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F5AE4"/>
  <w15:chartTrackingRefBased/>
  <w15:docId w15:val="{F8F73839-A990-410D-8339-4C6FD5E6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1F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
    <w:basedOn w:val="Normal"/>
    <w:link w:val="ListParagraphChar"/>
    <w:uiPriority w:val="34"/>
    <w:qFormat/>
    <w:rsid w:val="000965B4"/>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314D8"/>
    <w:pPr>
      <w:spacing w:after="0" w:line="240" w:lineRule="auto"/>
    </w:pPr>
    <w:rPr>
      <w:sz w:val="20"/>
      <w:szCs w:val="20"/>
    </w:rPr>
  </w:style>
  <w:style w:type="character" w:customStyle="1" w:styleId="FootnoteTextChar">
    <w:name w:val="Footnote Text Char"/>
    <w:basedOn w:val="DefaultParagraphFont"/>
    <w:link w:val="FootnoteText"/>
    <w:uiPriority w:val="99"/>
    <w:rsid w:val="00C314D8"/>
    <w:rPr>
      <w:sz w:val="20"/>
      <w:szCs w:val="20"/>
    </w:rPr>
  </w:style>
  <w:style w:type="character" w:styleId="FootnoteReference">
    <w:name w:val="footnote reference"/>
    <w:basedOn w:val="DefaultParagraphFont"/>
    <w:uiPriority w:val="99"/>
    <w:semiHidden/>
    <w:unhideWhenUsed/>
    <w:rsid w:val="00C314D8"/>
    <w:rPr>
      <w:vertAlign w:val="superscript"/>
    </w:rPr>
  </w:style>
  <w:style w:type="character" w:customStyle="1" w:styleId="Heading1Char">
    <w:name w:val="Heading 1 Char"/>
    <w:basedOn w:val="DefaultParagraphFont"/>
    <w:link w:val="Heading1"/>
    <w:uiPriority w:val="9"/>
    <w:rsid w:val="00C21F2B"/>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56295"/>
    <w:rPr>
      <w:i/>
      <w:iCs/>
    </w:rPr>
  </w:style>
  <w:style w:type="paragraph" w:styleId="Header">
    <w:name w:val="header"/>
    <w:basedOn w:val="Normal"/>
    <w:link w:val="HeaderChar"/>
    <w:uiPriority w:val="99"/>
    <w:unhideWhenUsed/>
    <w:rsid w:val="006B0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2D3"/>
  </w:style>
  <w:style w:type="paragraph" w:styleId="Footer">
    <w:name w:val="footer"/>
    <w:basedOn w:val="Normal"/>
    <w:link w:val="FooterChar"/>
    <w:uiPriority w:val="99"/>
    <w:unhideWhenUsed/>
    <w:rsid w:val="006B0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2D3"/>
  </w:style>
  <w:style w:type="paragraph" w:styleId="BalloonText">
    <w:name w:val="Balloon Text"/>
    <w:basedOn w:val="Normal"/>
    <w:link w:val="BalloonTextChar"/>
    <w:uiPriority w:val="99"/>
    <w:semiHidden/>
    <w:unhideWhenUsed/>
    <w:rsid w:val="00A41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F02"/>
    <w:rPr>
      <w:rFonts w:ascii="Segoe UI" w:hAnsi="Segoe UI" w:cs="Segoe UI"/>
      <w:sz w:val="18"/>
      <w:szCs w:val="18"/>
    </w:rPr>
  </w:style>
  <w:style w:type="paragraph" w:customStyle="1" w:styleId="s32b251d">
    <w:name w:val="s32b251d"/>
    <w:basedOn w:val="Normal"/>
    <w:rsid w:val="00467F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b8d990e2">
    <w:name w:val="sb8d990e2"/>
    <w:basedOn w:val="DefaultParagraphFont"/>
    <w:rsid w:val="00467F1C"/>
  </w:style>
  <w:style w:type="character" w:customStyle="1" w:styleId="s7d2086b4">
    <w:name w:val="s7d2086b4"/>
    <w:basedOn w:val="DefaultParagraphFont"/>
    <w:rsid w:val="00467F1C"/>
  </w:style>
  <w:style w:type="character" w:customStyle="1" w:styleId="s6b621b36">
    <w:name w:val="s6b621b36"/>
    <w:basedOn w:val="DefaultParagraphFont"/>
    <w:rsid w:val="00467F1C"/>
  </w:style>
  <w:style w:type="character" w:styleId="Hyperlink">
    <w:name w:val="Hyperlink"/>
    <w:basedOn w:val="DefaultParagraphFont"/>
    <w:uiPriority w:val="99"/>
    <w:semiHidden/>
    <w:unhideWhenUsed/>
    <w:rsid w:val="00467F1C"/>
    <w:rPr>
      <w:color w:val="0000FF"/>
      <w:u w:val="single"/>
    </w:rPr>
  </w:style>
  <w:style w:type="paragraph" w:customStyle="1" w:styleId="s86e29719">
    <w:name w:val="s86e29719"/>
    <w:basedOn w:val="Normal"/>
    <w:rsid w:val="00467F1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97B66"/>
    <w:rPr>
      <w:sz w:val="16"/>
      <w:szCs w:val="16"/>
    </w:rPr>
  </w:style>
  <w:style w:type="paragraph" w:styleId="CommentText">
    <w:name w:val="annotation text"/>
    <w:basedOn w:val="Normal"/>
    <w:link w:val="CommentTextChar"/>
    <w:uiPriority w:val="99"/>
    <w:semiHidden/>
    <w:unhideWhenUsed/>
    <w:rsid w:val="00197B66"/>
    <w:pPr>
      <w:spacing w:line="240" w:lineRule="auto"/>
    </w:pPr>
    <w:rPr>
      <w:sz w:val="20"/>
      <w:szCs w:val="20"/>
    </w:rPr>
  </w:style>
  <w:style w:type="character" w:customStyle="1" w:styleId="CommentTextChar">
    <w:name w:val="Comment Text Char"/>
    <w:basedOn w:val="DefaultParagraphFont"/>
    <w:link w:val="CommentText"/>
    <w:uiPriority w:val="99"/>
    <w:semiHidden/>
    <w:rsid w:val="00197B66"/>
    <w:rPr>
      <w:sz w:val="20"/>
      <w:szCs w:val="20"/>
    </w:rPr>
  </w:style>
  <w:style w:type="paragraph" w:styleId="CommentSubject">
    <w:name w:val="annotation subject"/>
    <w:basedOn w:val="CommentText"/>
    <w:next w:val="CommentText"/>
    <w:link w:val="CommentSubjectChar"/>
    <w:uiPriority w:val="99"/>
    <w:semiHidden/>
    <w:unhideWhenUsed/>
    <w:rsid w:val="00197B66"/>
    <w:rPr>
      <w:b/>
      <w:bCs/>
    </w:rPr>
  </w:style>
  <w:style w:type="character" w:customStyle="1" w:styleId="CommentSubjectChar">
    <w:name w:val="Comment Subject Char"/>
    <w:basedOn w:val="CommentTextChar"/>
    <w:link w:val="CommentSubject"/>
    <w:uiPriority w:val="99"/>
    <w:semiHidden/>
    <w:rsid w:val="00197B66"/>
    <w:rPr>
      <w:b/>
      <w:bCs/>
      <w:sz w:val="20"/>
      <w:szCs w:val="20"/>
    </w:rPr>
  </w:style>
  <w:style w:type="character" w:customStyle="1" w:styleId="ListParagraphChar">
    <w:name w:val="List Paragraph Char"/>
    <w:aliases w:val="Akapit z listą BS Char,List Paragraph 1 Char"/>
    <w:link w:val="ListParagraph"/>
    <w:uiPriority w:val="34"/>
    <w:locked/>
    <w:rsid w:val="00D16102"/>
    <w:rPr>
      <w:rFonts w:ascii="Times New Roman" w:eastAsia="Times New Roman" w:hAnsi="Times New Roman" w:cs="Times New Roman"/>
      <w:sz w:val="24"/>
      <w:szCs w:val="24"/>
    </w:rPr>
  </w:style>
  <w:style w:type="character" w:customStyle="1" w:styleId="column">
    <w:name w:val="column"/>
    <w:basedOn w:val="DefaultParagraphFont"/>
    <w:rsid w:val="001448AB"/>
  </w:style>
  <w:style w:type="character" w:customStyle="1" w:styleId="summarytext">
    <w:name w:val="summarytext"/>
    <w:basedOn w:val="DefaultParagraphFont"/>
    <w:rsid w:val="001448AB"/>
  </w:style>
  <w:style w:type="character" w:customStyle="1" w:styleId="textcolumn">
    <w:name w:val="textcolumn"/>
    <w:basedOn w:val="DefaultParagraphFont"/>
    <w:rsid w:val="001448AB"/>
  </w:style>
  <w:style w:type="character" w:customStyle="1" w:styleId="NormalWebChar">
    <w:name w:val="Normal (Web) Char"/>
    <w:basedOn w:val="DefaultParagraphFont"/>
    <w:link w:val="NormalWeb"/>
    <w:uiPriority w:val="99"/>
    <w:locked/>
    <w:rsid w:val="00262477"/>
  </w:style>
  <w:style w:type="paragraph" w:styleId="NormalWeb">
    <w:name w:val="Normal (Web)"/>
    <w:basedOn w:val="Normal"/>
    <w:link w:val="NormalWebChar"/>
    <w:uiPriority w:val="99"/>
    <w:unhideWhenUsed/>
    <w:rsid w:val="00262477"/>
    <w:pPr>
      <w:spacing w:before="100" w:beforeAutospacing="1" w:after="100" w:afterAutospacing="1" w:line="240" w:lineRule="auto"/>
    </w:pPr>
  </w:style>
  <w:style w:type="character" w:styleId="Strong">
    <w:name w:val="Strong"/>
    <w:basedOn w:val="DefaultParagraphFont"/>
    <w:uiPriority w:val="22"/>
    <w:qFormat/>
    <w:rsid w:val="00EC7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0519">
      <w:bodyDiv w:val="1"/>
      <w:marLeft w:val="0"/>
      <w:marRight w:val="0"/>
      <w:marTop w:val="0"/>
      <w:marBottom w:val="0"/>
      <w:divBdr>
        <w:top w:val="none" w:sz="0" w:space="0" w:color="auto"/>
        <w:left w:val="none" w:sz="0" w:space="0" w:color="auto"/>
        <w:bottom w:val="none" w:sz="0" w:space="0" w:color="auto"/>
        <w:right w:val="none" w:sz="0" w:space="0" w:color="auto"/>
      </w:divBdr>
    </w:div>
    <w:div w:id="438718728">
      <w:bodyDiv w:val="1"/>
      <w:marLeft w:val="0"/>
      <w:marRight w:val="0"/>
      <w:marTop w:val="0"/>
      <w:marBottom w:val="0"/>
      <w:divBdr>
        <w:top w:val="none" w:sz="0" w:space="0" w:color="auto"/>
        <w:left w:val="none" w:sz="0" w:space="0" w:color="auto"/>
        <w:bottom w:val="none" w:sz="0" w:space="0" w:color="auto"/>
        <w:right w:val="none" w:sz="0" w:space="0" w:color="auto"/>
      </w:divBdr>
    </w:div>
    <w:div w:id="500123610">
      <w:bodyDiv w:val="1"/>
      <w:marLeft w:val="0"/>
      <w:marRight w:val="0"/>
      <w:marTop w:val="0"/>
      <w:marBottom w:val="0"/>
      <w:divBdr>
        <w:top w:val="none" w:sz="0" w:space="0" w:color="auto"/>
        <w:left w:val="none" w:sz="0" w:space="0" w:color="auto"/>
        <w:bottom w:val="none" w:sz="0" w:space="0" w:color="auto"/>
        <w:right w:val="none" w:sz="0" w:space="0" w:color="auto"/>
      </w:divBdr>
    </w:div>
    <w:div w:id="512185635">
      <w:bodyDiv w:val="1"/>
      <w:marLeft w:val="0"/>
      <w:marRight w:val="0"/>
      <w:marTop w:val="0"/>
      <w:marBottom w:val="0"/>
      <w:divBdr>
        <w:top w:val="none" w:sz="0" w:space="0" w:color="auto"/>
        <w:left w:val="none" w:sz="0" w:space="0" w:color="auto"/>
        <w:bottom w:val="none" w:sz="0" w:space="0" w:color="auto"/>
        <w:right w:val="none" w:sz="0" w:space="0" w:color="auto"/>
      </w:divBdr>
    </w:div>
    <w:div w:id="553079542">
      <w:bodyDiv w:val="1"/>
      <w:marLeft w:val="0"/>
      <w:marRight w:val="0"/>
      <w:marTop w:val="0"/>
      <w:marBottom w:val="0"/>
      <w:divBdr>
        <w:top w:val="none" w:sz="0" w:space="0" w:color="auto"/>
        <w:left w:val="none" w:sz="0" w:space="0" w:color="auto"/>
        <w:bottom w:val="none" w:sz="0" w:space="0" w:color="auto"/>
        <w:right w:val="none" w:sz="0" w:space="0" w:color="auto"/>
      </w:divBdr>
    </w:div>
    <w:div w:id="556625730">
      <w:bodyDiv w:val="1"/>
      <w:marLeft w:val="0"/>
      <w:marRight w:val="0"/>
      <w:marTop w:val="0"/>
      <w:marBottom w:val="0"/>
      <w:divBdr>
        <w:top w:val="none" w:sz="0" w:space="0" w:color="auto"/>
        <w:left w:val="none" w:sz="0" w:space="0" w:color="auto"/>
        <w:bottom w:val="none" w:sz="0" w:space="0" w:color="auto"/>
        <w:right w:val="none" w:sz="0" w:space="0" w:color="auto"/>
      </w:divBdr>
    </w:div>
    <w:div w:id="660475220">
      <w:bodyDiv w:val="1"/>
      <w:marLeft w:val="0"/>
      <w:marRight w:val="0"/>
      <w:marTop w:val="0"/>
      <w:marBottom w:val="0"/>
      <w:divBdr>
        <w:top w:val="none" w:sz="0" w:space="0" w:color="auto"/>
        <w:left w:val="none" w:sz="0" w:space="0" w:color="auto"/>
        <w:bottom w:val="none" w:sz="0" w:space="0" w:color="auto"/>
        <w:right w:val="none" w:sz="0" w:space="0" w:color="auto"/>
      </w:divBdr>
    </w:div>
    <w:div w:id="796752157">
      <w:bodyDiv w:val="1"/>
      <w:marLeft w:val="0"/>
      <w:marRight w:val="0"/>
      <w:marTop w:val="0"/>
      <w:marBottom w:val="0"/>
      <w:divBdr>
        <w:top w:val="none" w:sz="0" w:space="0" w:color="auto"/>
        <w:left w:val="none" w:sz="0" w:space="0" w:color="auto"/>
        <w:bottom w:val="none" w:sz="0" w:space="0" w:color="auto"/>
        <w:right w:val="none" w:sz="0" w:space="0" w:color="auto"/>
      </w:divBdr>
    </w:div>
    <w:div w:id="866603411">
      <w:bodyDiv w:val="1"/>
      <w:marLeft w:val="0"/>
      <w:marRight w:val="0"/>
      <w:marTop w:val="0"/>
      <w:marBottom w:val="0"/>
      <w:divBdr>
        <w:top w:val="none" w:sz="0" w:space="0" w:color="auto"/>
        <w:left w:val="none" w:sz="0" w:space="0" w:color="auto"/>
        <w:bottom w:val="none" w:sz="0" w:space="0" w:color="auto"/>
        <w:right w:val="none" w:sz="0" w:space="0" w:color="auto"/>
      </w:divBdr>
    </w:div>
    <w:div w:id="1320497524">
      <w:bodyDiv w:val="1"/>
      <w:marLeft w:val="0"/>
      <w:marRight w:val="0"/>
      <w:marTop w:val="0"/>
      <w:marBottom w:val="0"/>
      <w:divBdr>
        <w:top w:val="none" w:sz="0" w:space="0" w:color="auto"/>
        <w:left w:val="none" w:sz="0" w:space="0" w:color="auto"/>
        <w:bottom w:val="none" w:sz="0" w:space="0" w:color="auto"/>
        <w:right w:val="none" w:sz="0" w:space="0" w:color="auto"/>
      </w:divBdr>
      <w:divsChild>
        <w:div w:id="1157261821">
          <w:marLeft w:val="0"/>
          <w:marRight w:val="0"/>
          <w:marTop w:val="0"/>
          <w:marBottom w:val="0"/>
          <w:divBdr>
            <w:top w:val="none" w:sz="0" w:space="0" w:color="auto"/>
            <w:left w:val="none" w:sz="0" w:space="0" w:color="auto"/>
            <w:bottom w:val="none" w:sz="0" w:space="0" w:color="auto"/>
            <w:right w:val="none" w:sz="0" w:space="0" w:color="auto"/>
          </w:divBdr>
        </w:div>
        <w:div w:id="126356950">
          <w:marLeft w:val="0"/>
          <w:marRight w:val="0"/>
          <w:marTop w:val="0"/>
          <w:marBottom w:val="0"/>
          <w:divBdr>
            <w:top w:val="none" w:sz="0" w:space="0" w:color="auto"/>
            <w:left w:val="none" w:sz="0" w:space="0" w:color="auto"/>
            <w:bottom w:val="none" w:sz="0" w:space="0" w:color="auto"/>
            <w:right w:val="none" w:sz="0" w:space="0" w:color="auto"/>
          </w:divBdr>
          <w:divsChild>
            <w:div w:id="1517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7338">
      <w:bodyDiv w:val="1"/>
      <w:marLeft w:val="0"/>
      <w:marRight w:val="0"/>
      <w:marTop w:val="0"/>
      <w:marBottom w:val="0"/>
      <w:divBdr>
        <w:top w:val="none" w:sz="0" w:space="0" w:color="auto"/>
        <w:left w:val="none" w:sz="0" w:space="0" w:color="auto"/>
        <w:bottom w:val="none" w:sz="0" w:space="0" w:color="auto"/>
        <w:right w:val="none" w:sz="0" w:space="0" w:color="auto"/>
      </w:divBdr>
    </w:div>
    <w:div w:id="1611427703">
      <w:bodyDiv w:val="1"/>
      <w:marLeft w:val="0"/>
      <w:marRight w:val="0"/>
      <w:marTop w:val="0"/>
      <w:marBottom w:val="0"/>
      <w:divBdr>
        <w:top w:val="none" w:sz="0" w:space="0" w:color="auto"/>
        <w:left w:val="none" w:sz="0" w:space="0" w:color="auto"/>
        <w:bottom w:val="none" w:sz="0" w:space="0" w:color="auto"/>
        <w:right w:val="none" w:sz="0" w:space="0" w:color="auto"/>
      </w:divBdr>
    </w:div>
    <w:div w:id="1715496534">
      <w:bodyDiv w:val="1"/>
      <w:marLeft w:val="0"/>
      <w:marRight w:val="0"/>
      <w:marTop w:val="0"/>
      <w:marBottom w:val="0"/>
      <w:divBdr>
        <w:top w:val="none" w:sz="0" w:space="0" w:color="auto"/>
        <w:left w:val="none" w:sz="0" w:space="0" w:color="auto"/>
        <w:bottom w:val="none" w:sz="0" w:space="0" w:color="auto"/>
        <w:right w:val="none" w:sz="0" w:space="0" w:color="auto"/>
      </w:divBdr>
    </w:div>
    <w:div w:id="1790123549">
      <w:bodyDiv w:val="1"/>
      <w:marLeft w:val="0"/>
      <w:marRight w:val="0"/>
      <w:marTop w:val="0"/>
      <w:marBottom w:val="0"/>
      <w:divBdr>
        <w:top w:val="none" w:sz="0" w:space="0" w:color="auto"/>
        <w:left w:val="none" w:sz="0" w:space="0" w:color="auto"/>
        <w:bottom w:val="none" w:sz="0" w:space="0" w:color="auto"/>
        <w:right w:val="none" w:sz="0" w:space="0" w:color="auto"/>
      </w:divBdr>
    </w:div>
    <w:div w:id="1869757102">
      <w:bodyDiv w:val="1"/>
      <w:marLeft w:val="0"/>
      <w:marRight w:val="0"/>
      <w:marTop w:val="0"/>
      <w:marBottom w:val="0"/>
      <w:divBdr>
        <w:top w:val="none" w:sz="0" w:space="0" w:color="auto"/>
        <w:left w:val="none" w:sz="0" w:space="0" w:color="auto"/>
        <w:bottom w:val="none" w:sz="0" w:space="0" w:color="auto"/>
        <w:right w:val="none" w:sz="0" w:space="0" w:color="auto"/>
      </w:divBdr>
    </w:div>
    <w:div w:id="1907304654">
      <w:bodyDiv w:val="1"/>
      <w:marLeft w:val="0"/>
      <w:marRight w:val="0"/>
      <w:marTop w:val="0"/>
      <w:marBottom w:val="0"/>
      <w:divBdr>
        <w:top w:val="none" w:sz="0" w:space="0" w:color="auto"/>
        <w:left w:val="none" w:sz="0" w:space="0" w:color="auto"/>
        <w:bottom w:val="none" w:sz="0" w:space="0" w:color="auto"/>
        <w:right w:val="none" w:sz="0" w:space="0" w:color="auto"/>
      </w:divBdr>
    </w:div>
    <w:div w:id="190972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0FE27-2B02-4DE3-97EE-200FB44F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Tigran Melqonyan</dc:creator>
  <cp:keywords/>
  <dc:description/>
  <cp:lastModifiedBy>Shushanik Khurshudyan</cp:lastModifiedBy>
  <cp:revision>12</cp:revision>
  <cp:lastPrinted>2017-09-05T06:22:00Z</cp:lastPrinted>
  <dcterms:created xsi:type="dcterms:W3CDTF">2018-09-07T11:13:00Z</dcterms:created>
  <dcterms:modified xsi:type="dcterms:W3CDTF">2018-09-17T07:54:00Z</dcterms:modified>
</cp:coreProperties>
</file>