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B0" w:rsidRPr="00F3494E" w:rsidRDefault="00A008B0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center"/>
        <w:rPr>
          <w:rFonts w:ascii="GHEA Grapalat" w:hAnsi="GHEA Grapalat" w:cs="Arial"/>
          <w:b/>
          <w:color w:val="000000"/>
          <w:shd w:val="clear" w:color="auto" w:fill="FFFFFF"/>
          <w:lang w:val="hy-AM"/>
        </w:rPr>
      </w:pPr>
      <w:r w:rsidRPr="00F3494E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>ՀՀ մարդու իրավունքների պաշտպանի դիրքորոշումը</w:t>
      </w:r>
    </w:p>
    <w:p w:rsidR="00A008B0" w:rsidRPr="00F3494E" w:rsidRDefault="00C55E51" w:rsidP="00D61E0A">
      <w:pPr>
        <w:tabs>
          <w:tab w:val="left" w:pos="0"/>
          <w:tab w:val="left" w:pos="709"/>
        </w:tabs>
        <w:spacing w:line="276" w:lineRule="auto"/>
        <w:jc w:val="center"/>
        <w:rPr>
          <w:rFonts w:ascii="GHEA Grapalat" w:hAnsi="GHEA Grapalat" w:cs="Arial"/>
          <w:b/>
          <w:color w:val="000000"/>
          <w:shd w:val="clear" w:color="auto" w:fill="FFFFFF"/>
          <w:lang w:val="hy-AM"/>
        </w:rPr>
      </w:pPr>
      <w:r w:rsidRPr="00F3494E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>«ՀՀ վերաքննիչ դատարանի դիմումի հիման վրա՝ ՀՀ քրեական դատավարության օրենսգրքի 35-րդ հոդվածի 1-ին մասի 10-րդ կետի</w:t>
      </w:r>
      <w:r w:rsidR="00A008B0" w:rsidRPr="00F3494E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>՝ ՀՀ Սահմանադրության</w:t>
      </w:r>
      <w:r w:rsidRPr="00F3494E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 xml:space="preserve"> 3-րդ, 23-րդ, 31-րդ</w:t>
      </w:r>
      <w:r w:rsidR="00DF433C" w:rsidRPr="00F3494E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>,</w:t>
      </w:r>
      <w:r w:rsidRPr="00F3494E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 xml:space="preserve"> 61-րդ, 66-րդ և 75-րդ հոդվածների</w:t>
      </w:r>
      <w:r w:rsidR="00A008B0" w:rsidRPr="00F3494E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 xml:space="preserve"> համապատասխանության հարցը որոշելու վերաբերյալ գործի» կապակցությամբ</w:t>
      </w:r>
    </w:p>
    <w:p w:rsidR="00A008B0" w:rsidRPr="00F3494E" w:rsidRDefault="00A008B0" w:rsidP="00D61E0A">
      <w:pPr>
        <w:pStyle w:val="ListParagraph"/>
        <w:tabs>
          <w:tab w:val="left" w:pos="0"/>
          <w:tab w:val="left" w:pos="709"/>
        </w:tabs>
        <w:spacing w:after="240"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:rsidR="00EF6DFF" w:rsidRPr="00F3494E" w:rsidRDefault="00EF6DFF" w:rsidP="00D61E0A">
      <w:pPr>
        <w:pStyle w:val="ListParagraph"/>
        <w:tabs>
          <w:tab w:val="left" w:pos="0"/>
          <w:tab w:val="left" w:pos="709"/>
        </w:tabs>
        <w:spacing w:after="240"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:rsidR="00A77D9B" w:rsidRPr="00F3494E" w:rsidRDefault="00CC359C" w:rsidP="00D61E0A">
      <w:pPr>
        <w:pStyle w:val="ListParagraph"/>
        <w:tabs>
          <w:tab w:val="left" w:pos="0"/>
          <w:tab w:val="left" w:pos="709"/>
        </w:tabs>
        <w:spacing w:after="240"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  <w:r w:rsidRPr="00CC359C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 xml:space="preserve">Դիմող կողմի </w:t>
      </w:r>
      <w:r w:rsidR="00A008B0"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>պահանջը</w:t>
      </w:r>
    </w:p>
    <w:p w:rsidR="00A008B0" w:rsidRPr="00F3494E" w:rsidRDefault="00DF433C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ab/>
        <w:t xml:space="preserve">ՀՀ վերաքննիչ դատարանը </w:t>
      </w:r>
      <w:r w:rsidR="00A008B0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(այսուհետ՝ </w:t>
      </w:r>
      <w:r w:rsidR="0068027A">
        <w:rPr>
          <w:rFonts w:ascii="GHEA Grapalat" w:hAnsi="GHEA Grapalat" w:cs="Arial"/>
          <w:color w:val="000000"/>
          <w:shd w:val="clear" w:color="auto" w:fill="FFFFFF"/>
          <w:lang w:val="hy-AM"/>
        </w:rPr>
        <w:t>Դիմող կողմ</w:t>
      </w:r>
      <w:r w:rsidR="00A008B0" w:rsidRPr="0068027A">
        <w:rPr>
          <w:rFonts w:ascii="GHEA Grapalat" w:hAnsi="GHEA Grapalat" w:cs="Arial"/>
          <w:color w:val="000000"/>
          <w:shd w:val="clear" w:color="auto" w:fill="FFFFFF"/>
          <w:lang w:val="hy-AM"/>
        </w:rPr>
        <w:t>)</w:t>
      </w:r>
      <w:r w:rsidR="00A008B0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ղեկավարվելով 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ՀՀ Սահմանադրության 101-րդ հոդվածի 1-ին մասի 7-րդ կետով (</w:t>
      </w:r>
      <w:r w:rsidR="00A008B0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2005 թվականի փոփոխություններ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)</w:t>
      </w:r>
      <w:r w:rsidR="00A008B0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«Սահմանադրական դատարանի մասին» ՀՀ օրենքի 25-րդ և 71-րդ հոդվածներով, ինչպես նաև ՀՀ քրեական դատավարության օրենսգրքի 31-րդ հոդվածի 2-րդ մասով, </w:t>
      </w:r>
      <w:r w:rsidR="00A008B0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2016 թվականի 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դեկտեմբերի</w:t>
      </w:r>
      <w:r w:rsidR="00A008B0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1</w:t>
      </w:r>
      <w:r w:rsidR="00A008B0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-ին դիմել է ՀՀ սահմանադրական դատարան՝ 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ՀՀ քրեական դատավարության օրենսգրքի (այսուհետ՝ Օրենսգիրք) 35-րդ հոդվածի 1-ին մասի 10-րդ կետի՝ ՀՀ Սահմանադրության 3-րդ, 23-րդ, 31-րդ, 61-րդ, 66-րդ և 75-րդ հոդվածների համապատասխանության հարցը որոշելու կապակցությամբ:</w:t>
      </w:r>
    </w:p>
    <w:p w:rsidR="00A008B0" w:rsidRPr="00F3494E" w:rsidRDefault="00A008B0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</w:p>
    <w:p w:rsidR="00A77D9B" w:rsidRPr="00F3494E" w:rsidRDefault="00A008B0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  <w:r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 xml:space="preserve">Դիմումում </w:t>
      </w:r>
      <w:r w:rsidR="00CD5F98"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>վկայակոչած</w:t>
      </w:r>
      <w:r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 xml:space="preserve"> իրավական հիմքերը</w:t>
      </w:r>
    </w:p>
    <w:p w:rsidR="003E5A8F" w:rsidRPr="00A26D02" w:rsidRDefault="00A008B0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241EF7">
        <w:rPr>
          <w:rFonts w:ascii="GHEA Grapalat" w:hAnsi="GHEA Grapalat" w:cs="Arial"/>
          <w:color w:val="000000"/>
          <w:shd w:val="clear" w:color="auto" w:fill="FFFFFF"/>
          <w:lang w:val="hy-AM"/>
        </w:rPr>
        <w:t>Դիմումու</w:t>
      </w:r>
      <w:r w:rsidR="00241EF7" w:rsidRPr="00241EF7">
        <w:rPr>
          <w:rFonts w:ascii="GHEA Grapalat" w:hAnsi="GHEA Grapalat" w:cs="Arial"/>
          <w:color w:val="000000"/>
          <w:shd w:val="clear" w:color="auto" w:fill="FFFFFF"/>
          <w:lang w:val="hy-AM"/>
        </w:rPr>
        <w:t>մ</w:t>
      </w:r>
      <w:r w:rsidR="00440414" w:rsidRPr="00440414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9366AF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Օրենսգրքի 35-րդ հոդվածի 1-ին մասի 10-րդ կետի </w:t>
      </w:r>
      <w:proofErr w:type="spellStart"/>
      <w:r w:rsidR="00440414" w:rsidRPr="00440414">
        <w:rPr>
          <w:rFonts w:ascii="GHEA Grapalat" w:hAnsi="GHEA Grapalat" w:cs="Arial"/>
          <w:color w:val="000000"/>
          <w:shd w:val="clear" w:color="auto" w:fill="FFFFFF"/>
          <w:lang w:val="hy-AM"/>
        </w:rPr>
        <w:t>սահմանադրականության</w:t>
      </w:r>
      <w:proofErr w:type="spellEnd"/>
      <w:r w:rsidR="00440414" w:rsidRPr="00440414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հարցը </w:t>
      </w:r>
      <w:r w:rsidR="00653F0F">
        <w:rPr>
          <w:rFonts w:ascii="GHEA Grapalat" w:hAnsi="GHEA Grapalat" w:cs="Arial"/>
          <w:color w:val="000000"/>
          <w:shd w:val="clear" w:color="auto" w:fill="FFFFFF"/>
          <w:lang w:val="hy-AM"/>
        </w:rPr>
        <w:t>քննարկ</w:t>
      </w:r>
      <w:r w:rsidR="00534A94" w:rsidRPr="00534A94">
        <w:rPr>
          <w:rFonts w:ascii="GHEA Grapalat" w:hAnsi="GHEA Grapalat" w:cs="Arial"/>
          <w:color w:val="000000"/>
          <w:shd w:val="clear" w:color="auto" w:fill="FFFFFF"/>
          <w:lang w:val="hy-AM"/>
        </w:rPr>
        <w:t>վ</w:t>
      </w:r>
      <w:r w:rsidR="00440414">
        <w:rPr>
          <w:rFonts w:ascii="GHEA Grapalat" w:hAnsi="GHEA Grapalat" w:cs="Arial"/>
          <w:color w:val="000000"/>
          <w:shd w:val="clear" w:color="auto" w:fill="FFFFFF"/>
          <w:lang w:val="hy-AM"/>
        </w:rPr>
        <w:t>ել է ինչպես մահացած անձի</w:t>
      </w:r>
      <w:r w:rsidR="00440414" w:rsidRPr="00440414">
        <w:rPr>
          <w:rFonts w:ascii="GHEA Grapalat" w:hAnsi="GHEA Grapalat" w:cs="Arial"/>
          <w:color w:val="000000"/>
          <w:shd w:val="clear" w:color="auto" w:fill="FFFFFF"/>
          <w:lang w:val="hy-AM"/>
        </w:rPr>
        <w:t>,</w:t>
      </w:r>
      <w:r w:rsidR="00440414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40414" w:rsidRPr="00440414">
        <w:rPr>
          <w:rFonts w:ascii="GHEA Grapalat" w:hAnsi="GHEA Grapalat" w:cs="Arial"/>
          <w:color w:val="000000"/>
          <w:shd w:val="clear" w:color="auto" w:fill="FFFFFF"/>
          <w:lang w:val="hy-AM"/>
        </w:rPr>
        <w:t>ում նկատմամբ քրեական գործով վարույթը կարճելու մասին որոշում է կայացվել,  արժանապատվության, պատվի ու բարի համբավի պաշտպանության, այնպես էլ վերջինիս մերձավոր ազգականների` որպես իրավահաջորդների արդար դատաքննության իրավունքի ապահովման տեսանկյունից:</w:t>
      </w:r>
    </w:p>
    <w:p w:rsidR="009366AF" w:rsidRPr="009366AF" w:rsidRDefault="00A26D02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9366AF" w:rsidRPr="00A26D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Մասնավորապես,  </w:t>
      </w:r>
      <w:r w:rsidR="009366AF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Օրենսգրքի 35-րդ հոդվածի 1-ին մասի 10-րդ կետի և 66-րդ հոդվածի 1-ին մասի համապատասխան դրույթների </w:t>
      </w:r>
      <w:r w:rsidR="009366AF" w:rsidRPr="00A26D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համադրված վերլուծության արդյունքում դիմող կողմը նշել է, որ անձի մահվան </w:t>
      </w:r>
      <w:r w:rsidR="009366AF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հիմքով քրեական գործի կարճման արդյունքում </w:t>
      </w:r>
      <w:r w:rsidR="009366AF" w:rsidRPr="00A26D02">
        <w:rPr>
          <w:rFonts w:ascii="GHEA Grapalat" w:hAnsi="GHEA Grapalat" w:cs="Arial"/>
          <w:color w:val="000000"/>
          <w:shd w:val="clear" w:color="auto" w:fill="FFFFFF"/>
          <w:lang w:val="hy-AM"/>
        </w:rPr>
        <w:t>վերջինիս</w:t>
      </w:r>
      <w:r w:rsidR="009366AF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նկատմամբ քրեական հետապնդումը դադարեցվում է ոչ արդարացնող հիմքով, ինչի արդյունքում դադարեցվում է նաև անձի մեղավորության ապացուցման հետագա գործընթացն ու անձը փաստացի մեղավոր է ճանաչվում առանց դատարանի՝ օրինական ուժի մեջ մտած դատավճռի:</w:t>
      </w:r>
    </w:p>
    <w:p w:rsidR="00A008B0" w:rsidRPr="00F3494E" w:rsidRDefault="00A008B0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A26D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Դիմող կողմի </w:t>
      </w:r>
      <w:r w:rsidR="000D7086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պնդմամբ՝ վ</w:t>
      </w:r>
      <w:r w:rsidR="000E0542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ե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րոնշյալ</w:t>
      </w:r>
      <w:r w:rsidR="00D53164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օրենսդրական կարգավորումը</w:t>
      </w:r>
      <w:r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հակասում է 2015 թվականի փոփոխություններով ՀՀ Սահմանադրության </w:t>
      </w:r>
      <w:r w:rsidR="000D7086" w:rsidRPr="00F3494E">
        <w:rPr>
          <w:rFonts w:ascii="GHEA Grapalat" w:hAnsi="GHEA Grapalat" w:cs="Arial"/>
          <w:color w:val="000000"/>
          <w:shd w:val="clear" w:color="auto" w:fill="FFFFFF"/>
          <w:lang w:val="hy-AM"/>
        </w:rPr>
        <w:t>3-րդ, 23-րդ, 31-րդ, 61-րդ, 66-րդ և 75-րդ հոդվածներին:</w:t>
      </w:r>
    </w:p>
    <w:p w:rsidR="00EF6DFF" w:rsidRPr="008B131E" w:rsidRDefault="00EF6DFF" w:rsidP="00D61E0A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</w:p>
    <w:p w:rsidR="00A77D9B" w:rsidRPr="00F3494E" w:rsidRDefault="00AF070F" w:rsidP="008E1C9C">
      <w:pPr>
        <w:pStyle w:val="ListParagraph"/>
        <w:tabs>
          <w:tab w:val="left" w:pos="0"/>
          <w:tab w:val="left" w:pos="709"/>
        </w:tabs>
        <w:spacing w:after="240"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  <w:r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 xml:space="preserve">ՀՀ քրեական դատավարության օրենսգրքի 35-րդ հոդվածի 1-ին մասի 10-րդ կետի՝ ՀՀ Սահմանադրության 3-րդ, 23-րդ, 31-րդ, 61-րդ, 66-րդ և 75-րդ հոդվածների </w:t>
      </w:r>
      <w:r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lastRenderedPageBreak/>
        <w:t xml:space="preserve">համապատասխանության </w:t>
      </w:r>
      <w:r w:rsidR="00A008B0"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>հարցի վերաբերյալ ՀՀ մարդու իրավունքների պաշտպանի աշխատակազմի վերլուծությունը</w:t>
      </w:r>
    </w:p>
    <w:p w:rsidR="00151236" w:rsidRDefault="00804AE7" w:rsidP="00D61E0A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GHEA Grapalat" w:eastAsia="Calibri" w:hAnsi="GHEA Grapalat" w:cs="Sylfaen"/>
          <w:szCs w:val="22"/>
          <w:lang w:val="hy-AM"/>
        </w:rPr>
      </w:pPr>
      <w:r w:rsidRPr="004544A0"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FC355D" w:rsidRPr="00F3494E">
        <w:rPr>
          <w:rFonts w:ascii="GHEA Grapalat" w:eastAsia="Calibri" w:hAnsi="GHEA Grapalat" w:cs="Sylfaen"/>
          <w:szCs w:val="22"/>
          <w:lang w:val="hy-AM"/>
        </w:rPr>
        <w:t xml:space="preserve">Անձի մահվան հիմքով քրեական գործի կարճման արդյունքում </w:t>
      </w:r>
      <w:r w:rsidR="00A77D9B" w:rsidRPr="00F3494E">
        <w:rPr>
          <w:rFonts w:ascii="GHEA Grapalat" w:eastAsia="Calibri" w:hAnsi="GHEA Grapalat" w:cs="Sylfaen"/>
          <w:szCs w:val="22"/>
          <w:lang w:val="hy-AM"/>
        </w:rPr>
        <w:t>վերջինիս</w:t>
      </w:r>
      <w:r w:rsidR="00FC355D" w:rsidRPr="00F3494E">
        <w:rPr>
          <w:rFonts w:ascii="GHEA Grapalat" w:eastAsia="Calibri" w:hAnsi="GHEA Grapalat" w:cs="Sylfaen"/>
          <w:szCs w:val="22"/>
          <w:lang w:val="hy-AM"/>
        </w:rPr>
        <w:t xml:space="preserve"> նկատմամբ քրեական հետապնդման դադարեցման հարց</w:t>
      </w:r>
      <w:r w:rsidR="00A77D9B" w:rsidRPr="00F3494E">
        <w:rPr>
          <w:rFonts w:ascii="GHEA Grapalat" w:eastAsia="Calibri" w:hAnsi="GHEA Grapalat" w:cs="Sylfaen"/>
          <w:szCs w:val="22"/>
          <w:lang w:val="hy-AM"/>
        </w:rPr>
        <w:t>ն անհրաժեշտ</w:t>
      </w:r>
      <w:r w:rsidR="00FC355D" w:rsidRPr="00F3494E">
        <w:rPr>
          <w:rFonts w:ascii="GHEA Grapalat" w:eastAsia="Calibri" w:hAnsi="GHEA Grapalat" w:cs="Sylfaen"/>
          <w:szCs w:val="22"/>
          <w:lang w:val="hy-AM"/>
        </w:rPr>
        <w:t xml:space="preserve"> է դիտարկել </w:t>
      </w:r>
      <w:r w:rsidR="00510AD2">
        <w:rPr>
          <w:rFonts w:ascii="GHEA Grapalat" w:eastAsia="Calibri" w:hAnsi="GHEA Grapalat" w:cs="Sylfaen"/>
          <w:szCs w:val="22"/>
          <w:lang w:val="hy-AM"/>
        </w:rPr>
        <w:t>ե</w:t>
      </w:r>
      <w:r w:rsidR="00CD5F98">
        <w:rPr>
          <w:rFonts w:ascii="GHEA Grapalat" w:eastAsia="Calibri" w:hAnsi="GHEA Grapalat" w:cs="Sylfaen"/>
          <w:szCs w:val="22"/>
          <w:lang w:val="hy-AM"/>
        </w:rPr>
        <w:t>րկու</w:t>
      </w:r>
      <w:r w:rsidR="00A77D9B" w:rsidRPr="00F3494E">
        <w:rPr>
          <w:rFonts w:ascii="GHEA Grapalat" w:eastAsia="Calibri" w:hAnsi="GHEA Grapalat" w:cs="Sylfaen"/>
          <w:szCs w:val="22"/>
          <w:lang w:val="hy-AM"/>
        </w:rPr>
        <w:t>՝ ա</w:t>
      </w:r>
      <w:r w:rsidR="00151236" w:rsidRPr="00F3494E">
        <w:rPr>
          <w:rFonts w:ascii="GHEA Grapalat" w:eastAsia="Calibri" w:hAnsi="GHEA Grapalat" w:cs="Sylfaen"/>
          <w:szCs w:val="22"/>
          <w:lang w:val="hy-AM"/>
        </w:rPr>
        <w:t xml:space="preserve">նմեղության </w:t>
      </w:r>
      <w:r w:rsidR="00A77D9B" w:rsidRPr="00F3494E">
        <w:rPr>
          <w:rFonts w:ascii="GHEA Grapalat" w:eastAsia="Calibri" w:hAnsi="GHEA Grapalat" w:cs="Sylfaen"/>
          <w:szCs w:val="22"/>
          <w:lang w:val="hy-AM"/>
        </w:rPr>
        <w:t>կանխավարկածի</w:t>
      </w:r>
      <w:r w:rsidR="004E24EA">
        <w:rPr>
          <w:rFonts w:ascii="GHEA Grapalat" w:eastAsia="Calibri" w:hAnsi="GHEA Grapalat" w:cs="Sylfaen"/>
          <w:szCs w:val="22"/>
          <w:lang w:val="hy-AM"/>
        </w:rPr>
        <w:t xml:space="preserve"> (ինչն էլ իր հերթին որոշ դեպքերում կապված է անձի</w:t>
      </w:r>
      <w:r w:rsidR="00CD5F98">
        <w:rPr>
          <w:rFonts w:ascii="GHEA Grapalat" w:eastAsia="Calibri" w:hAnsi="GHEA Grapalat" w:cs="Sylfaen"/>
          <w:szCs w:val="22"/>
          <w:lang w:val="hy-AM"/>
        </w:rPr>
        <w:t xml:space="preserve"> </w:t>
      </w:r>
      <w:r w:rsidR="004E24EA">
        <w:rPr>
          <w:rFonts w:ascii="GHEA Grapalat" w:eastAsia="Calibri" w:hAnsi="GHEA Grapalat" w:cs="Sylfaen"/>
          <w:szCs w:val="22"/>
          <w:lang w:val="hy-AM"/>
        </w:rPr>
        <w:t>արժանապատվության</w:t>
      </w:r>
      <w:r w:rsidR="00CD5F98">
        <w:rPr>
          <w:rFonts w:ascii="GHEA Grapalat" w:eastAsia="Calibri" w:hAnsi="GHEA Grapalat" w:cs="Sylfaen"/>
          <w:szCs w:val="22"/>
          <w:lang w:val="hy-AM"/>
        </w:rPr>
        <w:t>,</w:t>
      </w:r>
      <w:r w:rsidR="004E24EA">
        <w:rPr>
          <w:rFonts w:ascii="GHEA Grapalat" w:eastAsia="Calibri" w:hAnsi="GHEA Grapalat" w:cs="Sylfaen"/>
          <w:szCs w:val="22"/>
          <w:lang w:val="hy-AM"/>
        </w:rPr>
        <w:t xml:space="preserve"> </w:t>
      </w:r>
      <w:r w:rsidR="00CD5F98">
        <w:rPr>
          <w:rFonts w:ascii="GHEA Grapalat" w:eastAsia="Calibri" w:hAnsi="GHEA Grapalat" w:cs="Sylfaen"/>
          <w:szCs w:val="22"/>
          <w:lang w:val="hy-AM"/>
        </w:rPr>
        <w:t xml:space="preserve">պատվի ու բարի համբավի </w:t>
      </w:r>
      <w:r w:rsidR="004E24EA">
        <w:rPr>
          <w:rFonts w:ascii="GHEA Grapalat" w:eastAsia="Calibri" w:hAnsi="GHEA Grapalat" w:cs="Sylfaen"/>
          <w:szCs w:val="22"/>
          <w:lang w:val="hy-AM"/>
        </w:rPr>
        <w:t>հետ</w:t>
      </w:r>
      <w:r w:rsidR="001D5A0F">
        <w:rPr>
          <w:rFonts w:ascii="GHEA Grapalat" w:eastAsia="Calibri" w:hAnsi="GHEA Grapalat" w:cs="Sylfaen"/>
          <w:szCs w:val="22"/>
          <w:lang w:val="hy-AM"/>
        </w:rPr>
        <w:t>)</w:t>
      </w:r>
      <w:r w:rsidR="00035B9D">
        <w:rPr>
          <w:rFonts w:ascii="GHEA Grapalat" w:eastAsia="Calibri" w:hAnsi="GHEA Grapalat" w:cs="Sylfaen"/>
          <w:szCs w:val="22"/>
          <w:lang w:val="hy-AM"/>
        </w:rPr>
        <w:t xml:space="preserve"> և</w:t>
      </w:r>
      <w:r w:rsidR="00A77D9B" w:rsidRPr="00F3494E">
        <w:rPr>
          <w:rFonts w:ascii="GHEA Grapalat" w:eastAsia="Calibri" w:hAnsi="GHEA Grapalat" w:cs="Sylfaen"/>
          <w:szCs w:val="22"/>
          <w:lang w:val="hy-AM"/>
        </w:rPr>
        <w:t xml:space="preserve"> </w:t>
      </w:r>
      <w:r w:rsidR="00510AD2">
        <w:rPr>
          <w:rFonts w:ascii="GHEA Grapalat" w:eastAsia="Calibri" w:hAnsi="GHEA Grapalat" w:cs="Sylfaen"/>
          <w:szCs w:val="22"/>
          <w:lang w:val="hy-AM"/>
        </w:rPr>
        <w:t>իրավական որոշակիության</w:t>
      </w:r>
      <w:r w:rsidR="00151236" w:rsidRPr="00F3494E">
        <w:rPr>
          <w:rFonts w:ascii="GHEA Grapalat" w:eastAsia="Calibri" w:hAnsi="GHEA Grapalat" w:cs="Sylfaen"/>
          <w:szCs w:val="22"/>
          <w:lang w:val="hy-AM"/>
        </w:rPr>
        <w:t xml:space="preserve"> </w:t>
      </w:r>
      <w:r w:rsidR="00035B9D">
        <w:rPr>
          <w:rFonts w:ascii="GHEA Grapalat" w:eastAsia="Calibri" w:hAnsi="GHEA Grapalat" w:cs="Sylfaen"/>
          <w:szCs w:val="22"/>
          <w:lang w:val="hy-AM"/>
        </w:rPr>
        <w:t>սկզբունքի</w:t>
      </w:r>
      <w:r w:rsidR="00510AD2">
        <w:rPr>
          <w:rFonts w:ascii="GHEA Grapalat" w:eastAsia="Calibri" w:hAnsi="GHEA Grapalat" w:cs="Sylfaen"/>
          <w:szCs w:val="22"/>
          <w:lang w:val="hy-AM"/>
        </w:rPr>
        <w:t xml:space="preserve"> </w:t>
      </w:r>
      <w:r w:rsidR="00D53164" w:rsidRPr="00D53164">
        <w:rPr>
          <w:rFonts w:ascii="GHEA Grapalat" w:eastAsia="Calibri" w:hAnsi="GHEA Grapalat" w:cs="Sylfaen"/>
          <w:szCs w:val="22"/>
          <w:lang w:val="hy-AM"/>
        </w:rPr>
        <w:t>ապահովման</w:t>
      </w:r>
      <w:r w:rsidR="00C5706D" w:rsidRPr="00A26D02">
        <w:rPr>
          <w:rFonts w:ascii="GHEA Grapalat" w:eastAsia="Calibri" w:hAnsi="GHEA Grapalat" w:cs="Sylfaen"/>
          <w:szCs w:val="22"/>
          <w:lang w:val="hy-AM"/>
        </w:rPr>
        <w:t>, ինչպես նաև մահացածի իրավահաջորդների իրավունքների և օրինական շահերի ապահովման</w:t>
      </w:r>
      <w:r w:rsidR="00D53164" w:rsidRPr="00D53164">
        <w:rPr>
          <w:rFonts w:ascii="GHEA Grapalat" w:eastAsia="Calibri" w:hAnsi="GHEA Grapalat" w:cs="Sylfaen"/>
          <w:szCs w:val="22"/>
          <w:lang w:val="hy-AM"/>
        </w:rPr>
        <w:t xml:space="preserve"> </w:t>
      </w:r>
      <w:r w:rsidR="00A77D9B" w:rsidRPr="00F3494E">
        <w:rPr>
          <w:rFonts w:ascii="GHEA Grapalat" w:eastAsia="Calibri" w:hAnsi="GHEA Grapalat" w:cs="Sylfaen"/>
          <w:szCs w:val="22"/>
          <w:lang w:val="hy-AM"/>
        </w:rPr>
        <w:t>տեսանկյունից:</w:t>
      </w:r>
    </w:p>
    <w:p w:rsidR="001B5945" w:rsidRDefault="001B5945" w:rsidP="00D61E0A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GHEA Grapalat" w:eastAsia="Calibri" w:hAnsi="GHEA Grapalat" w:cs="Sylfaen"/>
          <w:szCs w:val="22"/>
          <w:lang w:val="hy-AM"/>
        </w:rPr>
      </w:pPr>
    </w:p>
    <w:p w:rsidR="00101324" w:rsidRPr="001B5945" w:rsidRDefault="009366AF" w:rsidP="00A26D02">
      <w:pPr>
        <w:pStyle w:val="ListParagraph"/>
        <w:numPr>
          <w:ilvl w:val="0"/>
          <w:numId w:val="8"/>
        </w:numPr>
        <w:spacing w:line="276" w:lineRule="auto"/>
        <w:ind w:left="0" w:firstLine="0"/>
        <w:jc w:val="both"/>
        <w:rPr>
          <w:rFonts w:ascii="GHEA Grapalat" w:eastAsia="Calibri" w:hAnsi="GHEA Grapalat"/>
          <w:szCs w:val="22"/>
          <w:lang w:val="hy-AM"/>
        </w:rPr>
      </w:pPr>
      <w:r w:rsidRPr="00A26D02">
        <w:rPr>
          <w:rFonts w:ascii="GHEA Grapalat" w:eastAsia="Calibri" w:hAnsi="GHEA Grapalat" w:cs="Sylfaen"/>
          <w:szCs w:val="22"/>
          <w:lang w:val="hy-AM"/>
        </w:rPr>
        <w:t xml:space="preserve">Այսպես, </w:t>
      </w:r>
      <w:r w:rsidR="009955EA" w:rsidRPr="001B5945">
        <w:rPr>
          <w:rFonts w:ascii="GHEA Grapalat" w:eastAsia="Calibri" w:hAnsi="GHEA Grapalat" w:cs="Sylfaen"/>
          <w:szCs w:val="22"/>
          <w:lang w:val="hy-AM"/>
        </w:rPr>
        <w:t>Օրենսգրքի</w:t>
      </w:r>
      <w:r w:rsidR="009955EA" w:rsidRPr="001B5945">
        <w:rPr>
          <w:rFonts w:ascii="GHEA Grapalat" w:eastAsia="Calibri" w:hAnsi="GHEA Grapalat"/>
          <w:szCs w:val="22"/>
          <w:lang w:val="hy-AM"/>
        </w:rPr>
        <w:t xml:space="preserve"> 35-րդ հոդվածի 1-ին մասի 10-րդ և 66-րդ հոդվածի 1-ին մասի </w:t>
      </w:r>
      <w:proofErr w:type="spellStart"/>
      <w:r w:rsidR="009955EA" w:rsidRPr="001B5945">
        <w:rPr>
          <w:rFonts w:ascii="GHEA Grapalat" w:eastAsia="Calibri" w:hAnsi="GHEA Grapalat"/>
          <w:szCs w:val="22"/>
          <w:lang w:val="hy-AM"/>
        </w:rPr>
        <w:t>համադիր</w:t>
      </w:r>
      <w:proofErr w:type="spellEnd"/>
      <w:r w:rsidR="009955EA" w:rsidRPr="001B5945">
        <w:rPr>
          <w:rFonts w:ascii="GHEA Grapalat" w:eastAsia="Calibri" w:hAnsi="GHEA Grapalat"/>
          <w:szCs w:val="22"/>
          <w:lang w:val="hy-AM"/>
        </w:rPr>
        <w:t xml:space="preserve"> </w:t>
      </w:r>
      <w:proofErr w:type="spellStart"/>
      <w:r w:rsidR="009955EA" w:rsidRPr="001B5945">
        <w:rPr>
          <w:rFonts w:ascii="GHEA Grapalat" w:eastAsia="Calibri" w:hAnsi="GHEA Grapalat"/>
          <w:szCs w:val="22"/>
          <w:lang w:val="hy-AM"/>
        </w:rPr>
        <w:t>վերլուծությունից</w:t>
      </w:r>
      <w:proofErr w:type="spellEnd"/>
      <w:r w:rsidR="009955EA" w:rsidRPr="001B5945">
        <w:rPr>
          <w:rFonts w:ascii="GHEA Grapalat" w:eastAsia="Calibri" w:hAnsi="GHEA Grapalat"/>
          <w:szCs w:val="22"/>
          <w:lang w:val="hy-AM"/>
        </w:rPr>
        <w:t xml:space="preserve"> </w:t>
      </w:r>
      <w:proofErr w:type="spellStart"/>
      <w:r w:rsidR="009955EA" w:rsidRPr="001B5945">
        <w:rPr>
          <w:rFonts w:ascii="GHEA Grapalat" w:eastAsia="Calibri" w:hAnsi="GHEA Grapalat"/>
          <w:szCs w:val="22"/>
          <w:lang w:val="hy-AM"/>
        </w:rPr>
        <w:t>հետևում</w:t>
      </w:r>
      <w:proofErr w:type="spellEnd"/>
      <w:r w:rsidR="009955EA" w:rsidRPr="001B5945">
        <w:rPr>
          <w:rFonts w:ascii="GHEA Grapalat" w:eastAsia="Calibri" w:hAnsi="GHEA Grapalat"/>
          <w:szCs w:val="22"/>
          <w:lang w:val="hy-AM"/>
        </w:rPr>
        <w:t xml:space="preserve"> է, որ անձի </w:t>
      </w:r>
      <w:r w:rsidR="00494CD4" w:rsidRPr="001B5945">
        <w:rPr>
          <w:rFonts w:ascii="GHEA Grapalat" w:eastAsia="Calibri" w:hAnsi="GHEA Grapalat"/>
          <w:szCs w:val="22"/>
          <w:lang w:val="hy-AM"/>
        </w:rPr>
        <w:t xml:space="preserve">մահվան դեպքում վերջինիս նկատմամբ </w:t>
      </w:r>
      <w:r w:rsidR="009955EA" w:rsidRPr="001B5945">
        <w:rPr>
          <w:rFonts w:ascii="GHEA Grapalat" w:eastAsia="Calibri" w:hAnsi="GHEA Grapalat"/>
          <w:szCs w:val="22"/>
          <w:lang w:val="hy-AM"/>
        </w:rPr>
        <w:t xml:space="preserve">քրեական հետապնդումը դադարեցվում է ոչ արդարացնող հիմքով: </w:t>
      </w:r>
      <w:r w:rsidR="00F42D85" w:rsidRPr="001B5945">
        <w:rPr>
          <w:rFonts w:ascii="GHEA Grapalat" w:eastAsia="Calibri" w:hAnsi="GHEA Grapalat"/>
          <w:szCs w:val="22"/>
          <w:lang w:val="hy-AM"/>
        </w:rPr>
        <w:t xml:space="preserve">Ավելին, քրեական հետապնդումը մահվան հիմքով դադարեցնելիս, միաժամանակ դադարեցվում է նաև անձի մեղավորության ապացուցման հետագա գործընթացը: </w:t>
      </w:r>
    </w:p>
    <w:p w:rsidR="00BD0754" w:rsidRPr="00273442" w:rsidRDefault="00101324" w:rsidP="00F71B3A">
      <w:pPr>
        <w:pStyle w:val="ListParagraph"/>
        <w:spacing w:line="276" w:lineRule="auto"/>
        <w:ind w:left="0" w:firstLine="72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Հարկ է ընդգծել, որ ն</w:t>
      </w:r>
      <w:r w:rsidRPr="00EF4168">
        <w:rPr>
          <w:rFonts w:ascii="GHEA Grapalat" w:hAnsi="GHEA Grapalat"/>
          <w:lang w:val="hy-AM"/>
        </w:rPr>
        <w:t xml:space="preserve">ախնական քննության ընթացքում չարդարացնող հիմքերով քրեական գործով վարույթի կարճման կամ քրեական հետապնդման դադարեցման և անմեղության կանխավարկածի սահմանադրական սկզբունքի </w:t>
      </w:r>
      <w:r w:rsidR="00624466" w:rsidRPr="00624466">
        <w:rPr>
          <w:rFonts w:ascii="GHEA Grapalat" w:hAnsi="GHEA Grapalat"/>
          <w:lang w:val="hy-AM"/>
        </w:rPr>
        <w:t>հարաբերակցության</w:t>
      </w:r>
      <w:r w:rsidR="00624466" w:rsidRPr="00624466" w:rsidDel="00624466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hy-AM"/>
        </w:rPr>
        <w:t>հիմնախնդրին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EF4168">
        <w:rPr>
          <w:rFonts w:ascii="GHEA Grapalat" w:hAnsi="GHEA Grapalat"/>
          <w:lang w:val="hy-AM"/>
        </w:rPr>
        <w:t xml:space="preserve">անդրադարձ է կատարվել նաև ՀՀ Սահմանադրության մեկնաբանություններում: Ըստ նշյալ մեկնաբանությունների՝ «նախնական քննության ընթացքում չարդարացնող հիմքերով քրեական գործով վարույթի կարճումը չի հակասում անմեղության </w:t>
      </w:r>
      <w:proofErr w:type="spellStart"/>
      <w:r w:rsidRPr="00EF4168">
        <w:rPr>
          <w:rFonts w:ascii="GHEA Grapalat" w:hAnsi="GHEA Grapalat"/>
          <w:lang w:val="hy-AM"/>
        </w:rPr>
        <w:t>կանխավարկածին</w:t>
      </w:r>
      <w:proofErr w:type="spellEnd"/>
      <w:r w:rsidRPr="00EF4168">
        <w:rPr>
          <w:rFonts w:ascii="GHEA Grapalat" w:hAnsi="GHEA Grapalat"/>
          <w:lang w:val="hy-AM"/>
        </w:rPr>
        <w:t>, (…) եթե՝ մեղադրյալը հնարավորություն ունի բողոքարկելու կարճման մասին որոշումը, մեղադրյալն իրավունք ունի առարկելու կարճման որոշման դեմ և պահանջելու, որպեսզի դատավարությունը շարունակվի ընդհանուր հիմունքներով:»</w:t>
      </w:r>
      <w:r w:rsidRPr="00EF4168">
        <w:rPr>
          <w:rFonts w:ascii="GHEA Grapalat" w:hAnsi="GHEA Grapalat"/>
          <w:vertAlign w:val="superscript"/>
          <w:lang w:val="hy-AM"/>
        </w:rPr>
        <w:footnoteReference w:id="1"/>
      </w:r>
      <w:r w:rsidRPr="00EF4168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 xml:space="preserve"> Ասվածից կարելի է ենթադրել, որ </w:t>
      </w:r>
      <w:r w:rsidRPr="00101324">
        <w:rPr>
          <w:rFonts w:ascii="GHEA Grapalat" w:hAnsi="GHEA Grapalat"/>
          <w:lang w:val="hy-AM"/>
        </w:rPr>
        <w:t xml:space="preserve">նախնական քննության ընթացքում չարդարացնող հիմքերով քրեական գործով վարույթի կարճումը </w:t>
      </w:r>
      <w:proofErr w:type="spellStart"/>
      <w:r w:rsidR="00D0164D">
        <w:rPr>
          <w:rFonts w:ascii="GHEA Grapalat" w:hAnsi="GHEA Grapalat"/>
          <w:lang w:val="hy-AM"/>
        </w:rPr>
        <w:t>խնդրահարույց</w:t>
      </w:r>
      <w:proofErr w:type="spellEnd"/>
      <w:r w:rsidR="00D0164D">
        <w:rPr>
          <w:rFonts w:ascii="GHEA Grapalat" w:hAnsi="GHEA Grapalat"/>
          <w:lang w:val="hy-AM"/>
        </w:rPr>
        <w:t xml:space="preserve"> է</w:t>
      </w:r>
      <w:r>
        <w:rPr>
          <w:rFonts w:ascii="GHEA Grapalat" w:hAnsi="GHEA Grapalat"/>
          <w:lang w:val="hy-AM"/>
        </w:rPr>
        <w:t xml:space="preserve"> </w:t>
      </w:r>
      <w:r w:rsidR="00D0164D">
        <w:rPr>
          <w:rFonts w:ascii="GHEA Grapalat" w:hAnsi="GHEA Grapalat"/>
          <w:lang w:val="hy-AM"/>
        </w:rPr>
        <w:t>անմեղության կանխավարկածի տեսանկյունից</w:t>
      </w:r>
      <w:r>
        <w:rPr>
          <w:rFonts w:ascii="GHEA Grapalat" w:hAnsi="GHEA Grapalat"/>
          <w:lang w:val="hy-AM"/>
        </w:rPr>
        <w:t xml:space="preserve">, </w:t>
      </w:r>
      <w:r w:rsidR="00BD0754">
        <w:rPr>
          <w:rFonts w:ascii="GHEA Grapalat" w:hAnsi="GHEA Grapalat"/>
          <w:lang w:val="hy-AM"/>
        </w:rPr>
        <w:t xml:space="preserve">այն պարագայում, </w:t>
      </w:r>
      <w:r>
        <w:rPr>
          <w:rFonts w:ascii="GHEA Grapalat" w:hAnsi="GHEA Grapalat"/>
          <w:lang w:val="hy-AM"/>
        </w:rPr>
        <w:t xml:space="preserve">երբ մեղադրյալն օբյեկտիվորեն զրկված է </w:t>
      </w:r>
      <w:r w:rsidRPr="00672BCA">
        <w:rPr>
          <w:rFonts w:ascii="GHEA Grapalat" w:hAnsi="GHEA Grapalat"/>
          <w:lang w:val="hy-AM"/>
        </w:rPr>
        <w:t>բողոք</w:t>
      </w:r>
      <w:r>
        <w:rPr>
          <w:rFonts w:ascii="GHEA Grapalat" w:hAnsi="GHEA Grapalat"/>
          <w:lang w:val="hy-AM"/>
        </w:rPr>
        <w:t xml:space="preserve">արկելու կարճման մասին որոշումը, </w:t>
      </w:r>
      <w:r w:rsidRPr="00672BCA">
        <w:rPr>
          <w:rFonts w:ascii="GHEA Grapalat" w:hAnsi="GHEA Grapalat"/>
          <w:lang w:val="hy-AM"/>
        </w:rPr>
        <w:t>առարկելու կարճման որոշման դեմ և պահանջելու, որպեսզի դատավարությունը շարունակվի ընդհանուր հիմունքներով</w:t>
      </w:r>
      <w:r>
        <w:rPr>
          <w:rFonts w:ascii="GHEA Grapalat" w:hAnsi="GHEA Grapalat"/>
          <w:lang w:val="hy-AM"/>
        </w:rPr>
        <w:t>: Քննարկվող իրավիճակում, ա</w:t>
      </w:r>
      <w:r w:rsidRPr="00EF4168">
        <w:rPr>
          <w:rFonts w:ascii="GHEA Grapalat" w:hAnsi="GHEA Grapalat"/>
          <w:lang w:val="hy-AM"/>
        </w:rPr>
        <w:t>նձ</w:t>
      </w:r>
      <w:r>
        <w:rPr>
          <w:rFonts w:ascii="GHEA Grapalat" w:hAnsi="GHEA Grapalat"/>
          <w:lang w:val="hy-AM"/>
        </w:rPr>
        <w:t>ի</w:t>
      </w:r>
      <w:r w:rsidRPr="00EF4168">
        <w:rPr>
          <w:rFonts w:ascii="GHEA Grapalat" w:hAnsi="GHEA Grapalat"/>
          <w:lang w:val="hy-AM"/>
        </w:rPr>
        <w:t xml:space="preserve"> մահ</w:t>
      </w:r>
      <w:r>
        <w:rPr>
          <w:rFonts w:ascii="GHEA Grapalat" w:hAnsi="GHEA Grapalat"/>
          <w:lang w:val="hy-AM"/>
        </w:rPr>
        <w:t>վան հիմքով</w:t>
      </w:r>
      <w:r w:rsidRPr="00EF4168">
        <w:rPr>
          <w:rFonts w:ascii="GHEA Grapalat" w:hAnsi="GHEA Grapalat"/>
          <w:lang w:val="hy-AM"/>
        </w:rPr>
        <w:t xml:space="preserve"> քրեական գործի վարույթ</w:t>
      </w:r>
      <w:r>
        <w:rPr>
          <w:rFonts w:ascii="GHEA Grapalat" w:hAnsi="GHEA Grapalat"/>
          <w:lang w:val="hy-AM"/>
        </w:rPr>
        <w:t>ի</w:t>
      </w:r>
      <w:r w:rsidRPr="00EF416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կարճման </w:t>
      </w:r>
      <w:proofErr w:type="spellStart"/>
      <w:r>
        <w:rPr>
          <w:rFonts w:ascii="GHEA Grapalat" w:hAnsi="GHEA Grapalat"/>
          <w:lang w:val="hy-AM"/>
        </w:rPr>
        <w:t>հետևանքով</w:t>
      </w:r>
      <w:proofErr w:type="spellEnd"/>
      <w:r>
        <w:rPr>
          <w:rFonts w:ascii="GHEA Grapalat" w:hAnsi="GHEA Grapalat"/>
          <w:lang w:val="hy-AM"/>
        </w:rPr>
        <w:t xml:space="preserve"> մեղադրյալն օբյեկտիվորեն զրկված է ինչպես </w:t>
      </w:r>
      <w:r w:rsidRPr="00672BCA">
        <w:rPr>
          <w:rFonts w:ascii="GHEA Grapalat" w:hAnsi="GHEA Grapalat"/>
          <w:lang w:val="hy-AM"/>
        </w:rPr>
        <w:t>բողոքարկելու կարճման մասին որոշում</w:t>
      </w:r>
      <w:r>
        <w:rPr>
          <w:rFonts w:ascii="GHEA Grapalat" w:hAnsi="GHEA Grapalat"/>
          <w:lang w:val="hy-AM"/>
        </w:rPr>
        <w:t xml:space="preserve">ն ու </w:t>
      </w:r>
      <w:r w:rsidRPr="00672BCA">
        <w:rPr>
          <w:rFonts w:ascii="GHEA Grapalat" w:hAnsi="GHEA Grapalat"/>
          <w:lang w:val="hy-AM"/>
        </w:rPr>
        <w:t>առարկել</w:t>
      </w:r>
      <w:r>
        <w:rPr>
          <w:rFonts w:ascii="GHEA Grapalat" w:hAnsi="GHEA Grapalat"/>
          <w:lang w:val="hy-AM"/>
        </w:rPr>
        <w:t xml:space="preserve">ու </w:t>
      </w:r>
      <w:r w:rsidR="0074599B">
        <w:rPr>
          <w:rFonts w:ascii="GHEA Grapalat" w:hAnsi="GHEA Grapalat"/>
          <w:lang w:val="hy-AM"/>
        </w:rPr>
        <w:t>դրա</w:t>
      </w:r>
      <w:r>
        <w:rPr>
          <w:rFonts w:ascii="GHEA Grapalat" w:hAnsi="GHEA Grapalat"/>
          <w:lang w:val="hy-AM"/>
        </w:rPr>
        <w:t xml:space="preserve"> դեմ, այնպես էլ</w:t>
      </w:r>
      <w:r w:rsidRPr="00672BCA">
        <w:rPr>
          <w:rFonts w:ascii="GHEA Grapalat" w:hAnsi="GHEA Grapalat"/>
          <w:lang w:val="hy-AM"/>
        </w:rPr>
        <w:t xml:space="preserve"> պահանջելու, որպեսզի դատավարությունը շարունակվի ընդհանուր հիմունքներով</w:t>
      </w:r>
      <w:r>
        <w:rPr>
          <w:rFonts w:ascii="GHEA Grapalat" w:hAnsi="GHEA Grapalat"/>
          <w:lang w:val="hy-AM"/>
        </w:rPr>
        <w:t>:</w:t>
      </w:r>
      <w:r w:rsidR="00BD0754" w:rsidRPr="00BD0754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273442" w:rsidRPr="00A26D02">
        <w:rPr>
          <w:rFonts w:ascii="GHEA Grapalat" w:hAnsi="GHEA Grapalat"/>
          <w:lang w:val="hy-AM"/>
        </w:rPr>
        <w:t xml:space="preserve">Այս հանգամանքն իր հերթին պայմանավորում է դատավարական այնպիսի ընթացակարգերի </w:t>
      </w:r>
      <w:proofErr w:type="spellStart"/>
      <w:r w:rsidR="00273442" w:rsidRPr="00A26D02">
        <w:rPr>
          <w:rFonts w:ascii="GHEA Grapalat" w:hAnsi="GHEA Grapalat"/>
          <w:lang w:val="hy-AM"/>
        </w:rPr>
        <w:t>նախատեսման</w:t>
      </w:r>
      <w:proofErr w:type="spellEnd"/>
      <w:r w:rsidR="00273442" w:rsidRPr="00A26D02">
        <w:rPr>
          <w:rFonts w:ascii="GHEA Grapalat" w:hAnsi="GHEA Grapalat"/>
          <w:lang w:val="hy-AM"/>
        </w:rPr>
        <w:t xml:space="preserve"> </w:t>
      </w:r>
      <w:r w:rsidR="00273442" w:rsidRPr="00A26D02">
        <w:rPr>
          <w:rFonts w:ascii="GHEA Grapalat" w:hAnsi="GHEA Grapalat"/>
          <w:lang w:val="hy-AM"/>
        </w:rPr>
        <w:lastRenderedPageBreak/>
        <w:t>անհրաժեշտությունը, որոնցով կերաշխավորվի մահացածի իրավունքների պաշտպանությունն այլ անձանց (իրավահաջորդների) միջոցով</w:t>
      </w:r>
      <w:r w:rsidR="009A086C">
        <w:rPr>
          <w:rFonts w:ascii="GHEA Grapalat" w:hAnsi="GHEA Grapalat"/>
          <w:lang w:val="hy-AM"/>
        </w:rPr>
        <w:t>:</w:t>
      </w:r>
      <w:r w:rsidR="00FD0C08">
        <w:rPr>
          <w:rFonts w:ascii="GHEA Grapalat" w:hAnsi="GHEA Grapalat"/>
          <w:lang w:val="hy-AM"/>
        </w:rPr>
        <w:t>»</w:t>
      </w:r>
      <w:r w:rsidR="00273442" w:rsidRPr="00A26D02">
        <w:rPr>
          <w:rFonts w:ascii="GHEA Grapalat" w:hAnsi="GHEA Grapalat"/>
          <w:lang w:val="hy-AM"/>
        </w:rPr>
        <w:t>:</w:t>
      </w:r>
    </w:p>
    <w:p w:rsidR="0074599B" w:rsidRPr="004A67A4" w:rsidRDefault="009672A9" w:rsidP="00D61E0A">
      <w:pPr>
        <w:pStyle w:val="ListParagraph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3494E">
        <w:rPr>
          <w:rFonts w:ascii="GHEA Grapalat" w:eastAsia="Calibri" w:hAnsi="GHEA Grapalat"/>
          <w:szCs w:val="22"/>
          <w:lang w:val="hy-AM"/>
        </w:rPr>
        <w:t xml:space="preserve">Նշվածի կապակցությամբ, հարկ է ընդգծել, որ Մարդու իրավունքների </w:t>
      </w:r>
      <w:proofErr w:type="spellStart"/>
      <w:r w:rsidRPr="00F3494E">
        <w:rPr>
          <w:rFonts w:ascii="GHEA Grapalat" w:eastAsia="Calibri" w:hAnsi="GHEA Grapalat"/>
          <w:szCs w:val="22"/>
          <w:lang w:val="hy-AM"/>
        </w:rPr>
        <w:t>եվրոպական</w:t>
      </w:r>
      <w:proofErr w:type="spellEnd"/>
      <w:r w:rsidRPr="00F3494E">
        <w:rPr>
          <w:rFonts w:ascii="GHEA Grapalat" w:eastAsia="Calibri" w:hAnsi="GHEA Grapalat"/>
          <w:szCs w:val="22"/>
          <w:lang w:val="hy-AM"/>
        </w:rPr>
        <w:t xml:space="preserve"> դատարանն</w:t>
      </w:r>
      <w:r w:rsidR="000C5B3F" w:rsidRPr="004D0C1F">
        <w:rPr>
          <w:rFonts w:ascii="GHEA Grapalat" w:eastAsia="Calibri" w:hAnsi="GHEA Grapalat"/>
          <w:szCs w:val="22"/>
          <w:lang w:val="hy-AM"/>
        </w:rPr>
        <w:t xml:space="preserve"> (</w:t>
      </w:r>
      <w:r w:rsidR="000C5B3F" w:rsidRPr="004D0C1F">
        <w:rPr>
          <w:rFonts w:ascii="GHEA Grapalat" w:hAnsi="GHEA Grapalat"/>
          <w:lang w:val="hy-AM"/>
        </w:rPr>
        <w:t>ա</w:t>
      </w:r>
      <w:r w:rsidR="000C5B3F" w:rsidRPr="00CD5F98">
        <w:rPr>
          <w:rFonts w:ascii="GHEA Grapalat" w:hAnsi="GHEA Grapalat"/>
          <w:lang w:val="hy-AM"/>
        </w:rPr>
        <w:t xml:space="preserve">յսուհետ՝ </w:t>
      </w:r>
      <w:proofErr w:type="spellStart"/>
      <w:r w:rsidR="000C5B3F" w:rsidRPr="00CD5F98">
        <w:rPr>
          <w:rFonts w:ascii="GHEA Grapalat" w:hAnsi="GHEA Grapalat"/>
          <w:lang w:val="hy-AM"/>
        </w:rPr>
        <w:t>Եվրոպական</w:t>
      </w:r>
      <w:proofErr w:type="spellEnd"/>
      <w:r w:rsidR="000C5B3F" w:rsidRPr="00CD5F98">
        <w:rPr>
          <w:rFonts w:ascii="GHEA Grapalat" w:hAnsi="GHEA Grapalat"/>
          <w:lang w:val="hy-AM"/>
        </w:rPr>
        <w:t xml:space="preserve"> դատարան</w:t>
      </w:r>
      <w:r w:rsidR="000C5B3F" w:rsidRPr="004D0C1F">
        <w:rPr>
          <w:rFonts w:ascii="GHEA Grapalat" w:eastAsia="Calibri" w:hAnsi="GHEA Grapalat"/>
          <w:szCs w:val="22"/>
          <w:lang w:val="hy-AM"/>
        </w:rPr>
        <w:t xml:space="preserve">) </w:t>
      </w:r>
      <w:r w:rsidRPr="00F3494E">
        <w:rPr>
          <w:rFonts w:ascii="GHEA Grapalat" w:eastAsia="Calibri" w:hAnsi="GHEA Grapalat"/>
          <w:szCs w:val="22"/>
          <w:lang w:val="hy-AM"/>
        </w:rPr>
        <w:t xml:space="preserve"> իր </w:t>
      </w:r>
      <w:proofErr w:type="spellStart"/>
      <w:r w:rsidR="00624466">
        <w:rPr>
          <w:rFonts w:ascii="GHEA Grapalat" w:eastAsia="Calibri" w:hAnsi="GHEA Grapalat"/>
          <w:szCs w:val="22"/>
          <w:lang w:val="hy-AM"/>
        </w:rPr>
        <w:t>վճիռներում</w:t>
      </w:r>
      <w:proofErr w:type="spellEnd"/>
      <w:r w:rsidRPr="00F3494E">
        <w:rPr>
          <w:rFonts w:ascii="GHEA Grapalat" w:eastAsia="Calibri" w:hAnsi="GHEA Grapalat"/>
          <w:szCs w:val="22"/>
          <w:lang w:val="hy-AM"/>
        </w:rPr>
        <w:t xml:space="preserve"> նշել է, որ </w:t>
      </w:r>
      <w:r w:rsidRPr="00F3494E">
        <w:rPr>
          <w:rFonts w:ascii="GHEA Grapalat" w:eastAsia="Calibri" w:hAnsi="GHEA Grapalat"/>
          <w:bCs/>
          <w:szCs w:val="22"/>
          <w:lang w:val="hy-AM"/>
        </w:rPr>
        <w:t>«</w:t>
      </w:r>
      <w:r w:rsidRPr="00F3494E">
        <w:rPr>
          <w:rFonts w:ascii="GHEA Grapalat" w:eastAsia="Calibri" w:hAnsi="GHEA Grapalat"/>
          <w:szCs w:val="22"/>
          <w:lang w:val="hy-AM"/>
        </w:rPr>
        <w:t xml:space="preserve">Անմեղության կանխավարկածի սկզբունքը նախատեսված է պաշտպանելու </w:t>
      </w:r>
      <w:r w:rsidRPr="00F3494E">
        <w:rPr>
          <w:rFonts w:ascii="GHEA Grapalat" w:eastAsia="Calibri" w:hAnsi="GHEA Grapalat"/>
          <w:bCs/>
          <w:szCs w:val="22"/>
          <w:lang w:val="hy-AM"/>
        </w:rPr>
        <w:t>«</w:t>
      </w:r>
      <w:r w:rsidRPr="00F3494E">
        <w:rPr>
          <w:rFonts w:ascii="GHEA Grapalat" w:eastAsia="Calibri" w:hAnsi="GHEA Grapalat"/>
          <w:szCs w:val="22"/>
          <w:lang w:val="hy-AM"/>
        </w:rPr>
        <w:t>քրեական հանցագործության մեջ մեղադրվող անձին</w:t>
      </w:r>
      <w:r w:rsidRPr="00F3494E">
        <w:rPr>
          <w:rFonts w:ascii="GHEA Grapalat" w:eastAsia="Calibri" w:hAnsi="GHEA Grapalat"/>
          <w:bCs/>
          <w:szCs w:val="22"/>
          <w:lang w:val="hy-AM"/>
        </w:rPr>
        <w:t>»</w:t>
      </w:r>
      <w:r w:rsidRPr="00F3494E">
        <w:rPr>
          <w:rFonts w:ascii="GHEA Grapalat" w:eastAsia="Calibri" w:hAnsi="GHEA Grapalat"/>
          <w:szCs w:val="22"/>
          <w:lang w:val="hy-AM"/>
        </w:rPr>
        <w:t xml:space="preserve"> օրենքին ոչ համապատասխան նրան մեղավոր ճանաչող որոշումից: Այնուամենայնիվ, վերջինից չի </w:t>
      </w:r>
      <w:proofErr w:type="spellStart"/>
      <w:r w:rsidRPr="00F3494E">
        <w:rPr>
          <w:rFonts w:ascii="GHEA Grapalat" w:eastAsia="Calibri" w:hAnsi="GHEA Grapalat"/>
          <w:szCs w:val="22"/>
          <w:lang w:val="hy-AM"/>
        </w:rPr>
        <w:t>հետևում</w:t>
      </w:r>
      <w:proofErr w:type="spellEnd"/>
      <w:r w:rsidRPr="00F3494E">
        <w:rPr>
          <w:rFonts w:ascii="GHEA Grapalat" w:eastAsia="Calibri" w:hAnsi="GHEA Grapalat"/>
          <w:szCs w:val="22"/>
          <w:lang w:val="hy-AM"/>
        </w:rPr>
        <w:t xml:space="preserve">, որ </w:t>
      </w:r>
      <w:r w:rsidRPr="00F3494E">
        <w:rPr>
          <w:rFonts w:ascii="GHEA Grapalat" w:eastAsia="Calibri" w:hAnsi="GHEA Grapalat"/>
          <w:bCs/>
          <w:szCs w:val="22"/>
          <w:lang w:val="hy-AM"/>
        </w:rPr>
        <w:t>«</w:t>
      </w:r>
      <w:r w:rsidRPr="00F3494E">
        <w:rPr>
          <w:rFonts w:ascii="GHEA Grapalat" w:eastAsia="Calibri" w:hAnsi="GHEA Grapalat"/>
          <w:szCs w:val="22"/>
          <w:lang w:val="hy-AM"/>
        </w:rPr>
        <w:t>քրեական հանցագործության մեջ մեղադրվող անձի</w:t>
      </w:r>
      <w:r w:rsidRPr="00F3494E">
        <w:rPr>
          <w:rFonts w:ascii="GHEA Grapalat" w:eastAsia="Calibri" w:hAnsi="GHEA Grapalat"/>
          <w:bCs/>
          <w:szCs w:val="22"/>
          <w:lang w:val="hy-AM"/>
        </w:rPr>
        <w:t>»</w:t>
      </w:r>
      <w:r w:rsidRPr="00F3494E">
        <w:rPr>
          <w:rFonts w:ascii="GHEA Grapalat" w:eastAsia="Calibri" w:hAnsi="GHEA Grapalat"/>
          <w:szCs w:val="22"/>
          <w:lang w:val="hy-AM"/>
        </w:rPr>
        <w:t xml:space="preserve"> անմեղությունը չի կարող բողոքարկվել վերջինիս մահվանից հետո նրա </w:t>
      </w:r>
      <w:proofErr w:type="spellStart"/>
      <w:r w:rsidRPr="00F3494E">
        <w:rPr>
          <w:rFonts w:ascii="GHEA Grapalat" w:eastAsia="Calibri" w:hAnsi="GHEA Grapalat"/>
          <w:szCs w:val="22"/>
          <w:lang w:val="hy-AM"/>
        </w:rPr>
        <w:t>այրու</w:t>
      </w:r>
      <w:proofErr w:type="spellEnd"/>
      <w:r w:rsidRPr="00F3494E">
        <w:rPr>
          <w:rFonts w:ascii="GHEA Grapalat" w:eastAsia="Calibri" w:hAnsi="GHEA Grapalat"/>
          <w:szCs w:val="22"/>
          <w:lang w:val="hy-AM"/>
        </w:rPr>
        <w:t xml:space="preserve"> կողմից: </w:t>
      </w:r>
      <w:r w:rsidR="00F42D85" w:rsidRPr="00F3494E">
        <w:rPr>
          <w:rFonts w:ascii="GHEA Grapalat" w:eastAsia="Calibri" w:hAnsi="GHEA Grapalat"/>
          <w:szCs w:val="22"/>
          <w:lang w:val="hy-AM"/>
        </w:rPr>
        <w:t>Նա կարող է ունենալ թե</w:t>
      </w:r>
      <w:r w:rsidR="009B5792">
        <w:rPr>
          <w:rFonts w:ascii="GHEA Grapalat" w:eastAsia="Calibri" w:hAnsi="GHEA Grapalat"/>
          <w:szCs w:val="22"/>
          <w:lang w:val="hy-AM"/>
        </w:rPr>
        <w:t>՛</w:t>
      </w:r>
      <w:r w:rsidR="00F42D85" w:rsidRPr="00F3494E">
        <w:rPr>
          <w:rFonts w:ascii="GHEA Grapalat" w:eastAsia="Calibri" w:hAnsi="GHEA Grapalat"/>
          <w:szCs w:val="22"/>
          <w:lang w:val="hy-AM"/>
        </w:rPr>
        <w:t xml:space="preserve"> օրինական նյութական շահագրգռվածություն որպես մահացածի ժառանգ և թե</w:t>
      </w:r>
      <w:r w:rsidR="009B5792">
        <w:rPr>
          <w:rFonts w:ascii="GHEA Grapalat" w:eastAsia="Calibri" w:hAnsi="GHEA Grapalat"/>
          <w:szCs w:val="22"/>
          <w:lang w:val="hy-AM"/>
        </w:rPr>
        <w:t>՛</w:t>
      </w:r>
      <w:r w:rsidR="00F42D85" w:rsidRPr="00F3494E">
        <w:rPr>
          <w:rFonts w:ascii="GHEA Grapalat" w:eastAsia="Calibri" w:hAnsi="GHEA Grapalat"/>
          <w:szCs w:val="22"/>
          <w:lang w:val="hy-AM"/>
        </w:rPr>
        <w:t xml:space="preserve"> իր և իր ընտանիքի անունից բարոյական շահագրգռվածություն իր մահացած ամուսնու արդարացման մեջ:</w:t>
      </w:r>
      <w:r w:rsidR="00F42D85" w:rsidRPr="00F3494E">
        <w:rPr>
          <w:rFonts w:ascii="GHEA Grapalat" w:eastAsia="Calibri" w:hAnsi="GHEA Grapalat"/>
          <w:bCs/>
          <w:szCs w:val="22"/>
          <w:lang w:val="hy-AM"/>
        </w:rPr>
        <w:t>»</w:t>
      </w:r>
      <w:r w:rsidR="00F42D85" w:rsidRPr="00F3494E">
        <w:rPr>
          <w:rStyle w:val="FootnoteReference"/>
          <w:rFonts w:ascii="GHEA Grapalat" w:eastAsia="Calibri" w:hAnsi="GHEA Grapalat"/>
          <w:bCs/>
          <w:szCs w:val="22"/>
          <w:lang w:val="hy-AM"/>
        </w:rPr>
        <w:footnoteReference w:id="2"/>
      </w:r>
      <w:r w:rsidR="00F42D85" w:rsidRPr="00F3494E">
        <w:rPr>
          <w:rFonts w:ascii="GHEA Grapalat" w:eastAsia="Calibri" w:hAnsi="GHEA Grapalat"/>
          <w:szCs w:val="22"/>
          <w:lang w:val="hy-AM"/>
        </w:rPr>
        <w:t>:</w:t>
      </w:r>
      <w:r w:rsidR="005C427F" w:rsidRPr="00F3494E">
        <w:rPr>
          <w:rFonts w:ascii="GHEA Grapalat" w:eastAsia="Calibri" w:hAnsi="GHEA Grapalat"/>
          <w:szCs w:val="22"/>
          <w:lang w:val="hy-AM"/>
        </w:rPr>
        <w:t xml:space="preserve"> </w:t>
      </w:r>
      <w:proofErr w:type="spellStart"/>
      <w:r w:rsidR="005C427F" w:rsidRPr="00F3494E">
        <w:rPr>
          <w:rFonts w:ascii="GHEA Grapalat" w:eastAsia="Calibri" w:hAnsi="GHEA Grapalat"/>
          <w:szCs w:val="22"/>
          <w:lang w:val="hy-AM"/>
        </w:rPr>
        <w:t>Եվրոպական</w:t>
      </w:r>
      <w:proofErr w:type="spellEnd"/>
      <w:r w:rsidR="005C427F" w:rsidRPr="00F3494E">
        <w:rPr>
          <w:rFonts w:ascii="GHEA Grapalat" w:eastAsia="Calibri" w:hAnsi="GHEA Grapalat"/>
          <w:szCs w:val="22"/>
          <w:lang w:val="hy-AM"/>
        </w:rPr>
        <w:t xml:space="preserve"> դատարանի նշյալ որոշումից կարելի է ենթադրել, որ </w:t>
      </w:r>
      <w:r w:rsidR="00494CD4" w:rsidRPr="00F3494E">
        <w:rPr>
          <w:rFonts w:ascii="GHEA Grapalat" w:eastAsia="Calibri" w:hAnsi="GHEA Grapalat"/>
          <w:szCs w:val="22"/>
          <w:lang w:val="hy-AM"/>
        </w:rPr>
        <w:t>հանցագործության մեջ մեղադրվող անձի անմեղության հանգամանք</w:t>
      </w:r>
      <w:r w:rsidR="00EF4168">
        <w:rPr>
          <w:rFonts w:ascii="GHEA Grapalat" w:eastAsia="Calibri" w:hAnsi="GHEA Grapalat"/>
          <w:szCs w:val="22"/>
          <w:lang w:val="hy-AM"/>
        </w:rPr>
        <w:t>ն</w:t>
      </w:r>
      <w:r w:rsidR="00494CD4" w:rsidRPr="00F3494E">
        <w:rPr>
          <w:rFonts w:ascii="GHEA Grapalat" w:eastAsia="Calibri" w:hAnsi="GHEA Grapalat"/>
          <w:szCs w:val="22"/>
          <w:lang w:val="hy-AM"/>
        </w:rPr>
        <w:t xml:space="preserve"> ենթակա է բողոքարկման վերջինիս իրավահաջորդի կողմից՝ տվյալ անձի մահվանից հետո, ինչը պայմանավորված է ինչպես իրավահաջորդի վերաբերյալ իրականացվող գործի </w:t>
      </w:r>
      <w:r w:rsidR="00494CD4" w:rsidRPr="00F3494E">
        <w:rPr>
          <w:rFonts w:ascii="GHEA Grapalat" w:hAnsi="GHEA Grapalat"/>
          <w:lang w:val="hy-AM"/>
        </w:rPr>
        <w:t xml:space="preserve">շրջանակներում նրա օրինական շահերի պաշտպանությամբ, այնպես էլ մահացածի արժանապատվության, պատվի </w:t>
      </w:r>
      <w:r w:rsidR="00635975">
        <w:rPr>
          <w:rFonts w:ascii="GHEA Grapalat" w:hAnsi="GHEA Grapalat"/>
          <w:lang w:val="hy-AM"/>
        </w:rPr>
        <w:t>ու</w:t>
      </w:r>
      <w:r w:rsidR="00494CD4" w:rsidRPr="00F3494E">
        <w:rPr>
          <w:rFonts w:ascii="GHEA Grapalat" w:hAnsi="GHEA Grapalat"/>
          <w:lang w:val="hy-AM"/>
        </w:rPr>
        <w:t xml:space="preserve"> բարի համբավի պաշտպանության անհրաժեշտությամբ:</w:t>
      </w:r>
    </w:p>
    <w:p w:rsidR="00CD5F98" w:rsidRDefault="00D249CB" w:rsidP="00D61E0A">
      <w:pPr>
        <w:pStyle w:val="ListParagraph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Նշվածի կապակցությամբ</w:t>
      </w:r>
      <w:r w:rsidR="00BD0754">
        <w:rPr>
          <w:rFonts w:ascii="GHEA Grapalat" w:hAnsi="GHEA Grapalat"/>
          <w:lang w:val="hy-AM"/>
        </w:rPr>
        <w:t xml:space="preserve"> ուսումնասիրվել է նաև միջազգային փորձ</w:t>
      </w:r>
      <w:r>
        <w:rPr>
          <w:rFonts w:ascii="GHEA Grapalat" w:hAnsi="GHEA Grapalat"/>
          <w:lang w:val="hy-AM"/>
        </w:rPr>
        <w:t xml:space="preserve">, </w:t>
      </w:r>
      <w:r w:rsidR="00BD0754">
        <w:rPr>
          <w:rFonts w:ascii="GHEA Grapalat" w:hAnsi="GHEA Grapalat"/>
          <w:lang w:val="hy-AM"/>
        </w:rPr>
        <w:t>որի արդյունքում պարզվել է,</w:t>
      </w:r>
      <w:r>
        <w:rPr>
          <w:rFonts w:ascii="GHEA Grapalat" w:hAnsi="GHEA Grapalat"/>
          <w:lang w:val="hy-AM"/>
        </w:rPr>
        <w:t xml:space="preserve"> որ </w:t>
      </w:r>
      <w:r w:rsidR="00BD0754">
        <w:rPr>
          <w:rFonts w:ascii="GHEA Grapalat" w:hAnsi="GHEA Grapalat"/>
          <w:lang w:val="hy-AM"/>
        </w:rPr>
        <w:t xml:space="preserve">օրինակ՝ </w:t>
      </w:r>
      <w:r>
        <w:rPr>
          <w:rFonts w:ascii="GHEA Grapalat" w:hAnsi="GHEA Grapalat"/>
          <w:lang w:val="hy-AM"/>
        </w:rPr>
        <w:t xml:space="preserve">Գերմանիայում օրենսդրությունը հնարավորություն է ընձեռում ազգականներին պաշտպանել իրենց մահացած հարազատի պատիվն ու բարի համբավը՝ հղում կատարելով Սահմանադրությամբ ամրագրված անձի արժանապատվության իրավունքի սկզբունքին: Նշված դիրքորոշումը հաստատվել է Գերմանիայի դաշնային սահմանադրական դատարանի կողմից </w:t>
      </w:r>
      <w:proofErr w:type="spellStart"/>
      <w:r>
        <w:rPr>
          <w:rFonts w:ascii="GHEA Grapalat" w:hAnsi="GHEA Grapalat"/>
          <w:lang w:val="hy-AM"/>
        </w:rPr>
        <w:t>դեռևս</w:t>
      </w:r>
      <w:proofErr w:type="spellEnd"/>
      <w:r>
        <w:rPr>
          <w:rFonts w:ascii="GHEA Grapalat" w:hAnsi="GHEA Grapalat"/>
          <w:lang w:val="hy-AM"/>
        </w:rPr>
        <w:t xml:space="preserve"> 1971 թվականի «</w:t>
      </w:r>
      <w:proofErr w:type="spellStart"/>
      <w:r>
        <w:rPr>
          <w:rFonts w:ascii="GHEA Grapalat" w:hAnsi="GHEA Grapalat"/>
          <w:lang w:val="hy-AM"/>
        </w:rPr>
        <w:t>Մեֆիստոյի</w:t>
      </w:r>
      <w:proofErr w:type="spellEnd"/>
      <w:r>
        <w:rPr>
          <w:rFonts w:ascii="GHEA Grapalat" w:hAnsi="GHEA Grapalat"/>
          <w:lang w:val="hy-AM"/>
        </w:rPr>
        <w:t xml:space="preserve">» գործով: Դատարանը նշել է, որ «Հակասական կլիներ անձնական </w:t>
      </w:r>
      <w:r w:rsidR="00CD5F98">
        <w:rPr>
          <w:rFonts w:ascii="GHEA Grapalat" w:hAnsi="GHEA Grapalat"/>
          <w:lang w:val="hy-AM"/>
        </w:rPr>
        <w:t>անձեռնմխելիության</w:t>
      </w:r>
      <w:r>
        <w:rPr>
          <w:rFonts w:ascii="GHEA Grapalat" w:hAnsi="GHEA Grapalat"/>
          <w:lang w:val="hy-AM"/>
        </w:rPr>
        <w:t xml:space="preserve"> սահմանադրական սկզբունքի գոյությունը, եթե թույլատրելի լիներ ն</w:t>
      </w:r>
      <w:r w:rsidRPr="002B4A0F">
        <w:rPr>
          <w:rFonts w:ascii="GHEA Grapalat" w:hAnsi="GHEA Grapalat"/>
          <w:lang w:val="hy-AM"/>
        </w:rPr>
        <w:t>սեմացնել և</w:t>
      </w:r>
      <w:r>
        <w:rPr>
          <w:rFonts w:ascii="GHEA Grapalat" w:hAnsi="GHEA Grapalat"/>
          <w:lang w:val="hy-AM"/>
        </w:rPr>
        <w:t xml:space="preserve"> արատավորել այն անձի մահվանից հետո:</w:t>
      </w:r>
      <w:r w:rsidRPr="002B4A0F">
        <w:rPr>
          <w:rFonts w:ascii="GHEA Grapalat" w:hAnsi="GHEA Grapalat"/>
          <w:lang w:val="hy-AM"/>
        </w:rPr>
        <w:t xml:space="preserve"> </w:t>
      </w:r>
      <w:r w:rsidRPr="00B957AB">
        <w:rPr>
          <w:rFonts w:ascii="GHEA Grapalat" w:hAnsi="GHEA Grapalat"/>
          <w:lang w:val="hy-AM"/>
        </w:rPr>
        <w:t xml:space="preserve">Ըստ այդմ, անհատի մահը </w:t>
      </w:r>
      <w:r>
        <w:rPr>
          <w:rFonts w:ascii="GHEA Grapalat" w:hAnsi="GHEA Grapalat"/>
          <w:lang w:val="hy-AM"/>
        </w:rPr>
        <w:t xml:space="preserve">չի դադարեցնում պետության պարտականությունը </w:t>
      </w:r>
      <w:r w:rsidRPr="00734338">
        <w:rPr>
          <w:rFonts w:ascii="GHEA Grapalat" w:hAnsi="GHEA Grapalat"/>
          <w:lang w:val="hy-AM"/>
        </w:rPr>
        <w:t xml:space="preserve">(…)՝ պաշտպանել վերջինիս անձնական </w:t>
      </w:r>
      <w:r w:rsidR="00CD5F98" w:rsidRPr="00734338">
        <w:rPr>
          <w:rFonts w:ascii="GHEA Grapalat" w:hAnsi="GHEA Grapalat"/>
          <w:lang w:val="hy-AM"/>
        </w:rPr>
        <w:t>անձեռնմխելիության</w:t>
      </w:r>
      <w:r w:rsidRPr="00734338">
        <w:rPr>
          <w:rFonts w:ascii="GHEA Grapalat" w:hAnsi="GHEA Grapalat"/>
          <w:lang w:val="hy-AM"/>
        </w:rPr>
        <w:t xml:space="preserve"> իրավուն</w:t>
      </w:r>
      <w:r>
        <w:rPr>
          <w:rFonts w:ascii="GHEA Grapalat" w:hAnsi="GHEA Grapalat"/>
          <w:lang w:val="hy-AM"/>
        </w:rPr>
        <w:t>քն ոտնձգություններից:»</w:t>
      </w:r>
      <w:r w:rsidRPr="002B4A0F">
        <w:rPr>
          <w:rStyle w:val="FootnoteReference"/>
          <w:rFonts w:ascii="GHEA Grapalat" w:hAnsi="GHEA Grapalat"/>
          <w:lang w:val="hy-AM"/>
        </w:rPr>
        <w:t xml:space="preserve"> </w:t>
      </w:r>
      <w:r>
        <w:rPr>
          <w:rStyle w:val="FootnoteReference"/>
          <w:rFonts w:ascii="GHEA Grapalat" w:hAnsi="GHEA Grapalat"/>
          <w:lang w:val="hy-AM"/>
        </w:rPr>
        <w:footnoteReference w:id="3"/>
      </w:r>
      <w:r>
        <w:rPr>
          <w:rFonts w:ascii="GHEA Grapalat" w:hAnsi="GHEA Grapalat"/>
          <w:lang w:val="hy-AM"/>
        </w:rPr>
        <w:t xml:space="preserve">: </w:t>
      </w:r>
    </w:p>
    <w:p w:rsidR="00F3008A" w:rsidRPr="00F3008A" w:rsidRDefault="00F3008A" w:rsidP="009366AF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GHEA Grapalat" w:eastAsia="Calibri" w:hAnsi="GHEA Grapalat" w:cs="Sylfaen"/>
          <w:szCs w:val="22"/>
          <w:lang w:val="hy-AM"/>
        </w:rPr>
      </w:pPr>
    </w:p>
    <w:p w:rsidR="009A086C" w:rsidRPr="009A086C" w:rsidRDefault="008E1C9C" w:rsidP="00874284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9A086C">
        <w:rPr>
          <w:rFonts w:ascii="GHEA Grapalat" w:eastAsia="Calibri" w:hAnsi="GHEA Grapalat" w:cs="Sylfaen"/>
          <w:szCs w:val="22"/>
          <w:lang w:val="hy-AM"/>
        </w:rPr>
        <w:t>Անձի</w:t>
      </w:r>
      <w:r w:rsidRPr="009A086C">
        <w:rPr>
          <w:rFonts w:ascii="GHEA Grapalat" w:eastAsia="Calibri" w:hAnsi="GHEA Grapalat"/>
          <w:szCs w:val="22"/>
          <w:lang w:val="hy-AM"/>
        </w:rPr>
        <w:t xml:space="preserve"> նկատմամբ  ոչ արդարացնող, այդ թվում` վերջինիս մահվան հիմքով քրեական հետապնդումը դադարեցնելիս անմեղության կանխավարկածի սկզբունքը պահանջում է համարժեք  դատավարական երաշխիքների և ընթացակարգերի նախատեսում` ապահովելու անձի արդար դատաքննության, այդ թվում` դատարանի կողմից իր </w:t>
      </w:r>
      <w:r w:rsidRPr="009A086C">
        <w:rPr>
          <w:rFonts w:ascii="GHEA Grapalat" w:eastAsia="Calibri" w:hAnsi="GHEA Grapalat"/>
          <w:szCs w:val="22"/>
          <w:lang w:val="hy-AM"/>
        </w:rPr>
        <w:lastRenderedPageBreak/>
        <w:t xml:space="preserve">մեղավորության (անմեղության) հարցի լուծման իրավունքը: </w:t>
      </w:r>
      <w:r w:rsidR="00F3008A" w:rsidRPr="009A086C">
        <w:rPr>
          <w:rFonts w:ascii="GHEA Grapalat" w:hAnsi="GHEA Grapalat" w:cs="Sylfaen"/>
          <w:lang w:val="hy-AM"/>
        </w:rPr>
        <w:t>Օրենսգրքի</w:t>
      </w:r>
      <w:r w:rsidR="00F3008A" w:rsidRPr="009A086C">
        <w:rPr>
          <w:rFonts w:ascii="GHEA Grapalat" w:hAnsi="GHEA Grapalat"/>
          <w:lang w:val="hy-AM"/>
        </w:rPr>
        <w:t xml:space="preserve"> 35-րդ հոդվածի 1-ին մասի 10-րդ կետի համաձայն` քրեական գործ չի կարող</w:t>
      </w:r>
      <w:r w:rsidR="00F3008A" w:rsidRPr="00874284">
        <w:rPr>
          <w:rFonts w:ascii="GHEA Grapalat" w:hAnsi="GHEA Grapalat"/>
          <w:lang w:val="hy-AM"/>
        </w:rPr>
        <w:t xml:space="preserve"> հարուցվել և քրեական հետապնդում չի կարող իրականացվել, իսկ հարուցված քրեական գործի վարույթը ենթակա է կարճման, եթե անձը մահացել է</w:t>
      </w:r>
      <w:r w:rsidR="00F3008A" w:rsidRPr="00874284">
        <w:rPr>
          <w:rFonts w:ascii="GHEA Grapalat" w:hAnsi="GHEA Grapalat"/>
          <w:i/>
          <w:lang w:val="hy-AM"/>
        </w:rPr>
        <w:t xml:space="preserve">, </w:t>
      </w:r>
      <w:r w:rsidR="00F3008A" w:rsidRPr="009A086C">
        <w:rPr>
          <w:rFonts w:ascii="GHEA Grapalat" w:hAnsi="GHEA Grapalat"/>
          <w:lang w:val="hy-AM"/>
        </w:rPr>
        <w:t>բացառությամբ այն դեպքերի, երբ գործի վարույթն անհրաժեշտ է մահացածի իրավունքների վերականգնման համար կամ ուրիշ անձանց նկատմամբ նոր ի հայտ եկած հանգամանքների կապակցությամբ գործը վերսկսելու համար</w:t>
      </w:r>
      <w:r w:rsidR="00F3008A" w:rsidRPr="00874284">
        <w:rPr>
          <w:rFonts w:ascii="GHEA Grapalat" w:hAnsi="GHEA Grapalat"/>
          <w:lang w:val="hy-AM"/>
        </w:rPr>
        <w:t xml:space="preserve">: </w:t>
      </w:r>
    </w:p>
    <w:p w:rsidR="001639A9" w:rsidRPr="00874284" w:rsidRDefault="009A086C" w:rsidP="009A086C">
      <w:pPr>
        <w:pStyle w:val="ListParagraph"/>
        <w:tabs>
          <w:tab w:val="left" w:pos="0"/>
          <w:tab w:val="left" w:pos="360"/>
        </w:tabs>
        <w:spacing w:line="276" w:lineRule="auto"/>
        <w:ind w:left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Cs w:val="22"/>
          <w:lang w:val="hy-AM"/>
        </w:rPr>
        <w:tab/>
      </w:r>
      <w:r>
        <w:rPr>
          <w:rFonts w:ascii="GHEA Grapalat" w:eastAsia="Calibri" w:hAnsi="GHEA Grapalat" w:cs="Sylfaen"/>
          <w:szCs w:val="22"/>
          <w:lang w:val="hy-AM"/>
        </w:rPr>
        <w:tab/>
      </w:r>
      <w:r w:rsidR="00C0032B" w:rsidRPr="00874284">
        <w:rPr>
          <w:rFonts w:ascii="GHEA Grapalat" w:hAnsi="GHEA Grapalat"/>
          <w:lang w:val="hy-AM"/>
        </w:rPr>
        <w:t>Վերոնշյալ</w:t>
      </w:r>
      <w:r w:rsidR="004D0C1F" w:rsidRPr="00874284">
        <w:rPr>
          <w:rFonts w:ascii="GHEA Grapalat" w:hAnsi="GHEA Grapalat"/>
          <w:lang w:val="hy-AM"/>
        </w:rPr>
        <w:t xml:space="preserve"> </w:t>
      </w:r>
      <w:proofErr w:type="spellStart"/>
      <w:r w:rsidR="004D0C1F" w:rsidRPr="00874284">
        <w:rPr>
          <w:rFonts w:ascii="GHEA Grapalat" w:hAnsi="GHEA Grapalat"/>
          <w:lang w:val="hy-AM"/>
        </w:rPr>
        <w:t>բացառությունն</w:t>
      </w:r>
      <w:proofErr w:type="spellEnd"/>
      <w:r w:rsidR="004D0C1F" w:rsidRPr="00874284">
        <w:rPr>
          <w:rFonts w:ascii="GHEA Grapalat" w:hAnsi="GHEA Grapalat"/>
          <w:lang w:val="hy-AM"/>
        </w:rPr>
        <w:t xml:space="preserve"> անհրաժեշտ է դիտարկել դրա երկու բաղադրիչների` մահացածի իրավունքների վերականգնման և գործի վարույթը վերսկսելու` քրեադատավարական օրենքով նախատեսված ընթացակարգերի արդյունավետության և իրավական որոշակիության սկզբունքին բավարարելու տեսանկյունից: </w:t>
      </w:r>
    </w:p>
    <w:p w:rsidR="004544A0" w:rsidRDefault="009A086C" w:rsidP="009366AF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ab/>
      </w:r>
      <w:r w:rsidR="004D0C1F" w:rsidRPr="004D0C1F">
        <w:rPr>
          <w:rFonts w:ascii="GHEA Grapalat" w:hAnsi="GHEA Grapalat" w:cs="Sylfaen"/>
          <w:lang w:val="hy-AM"/>
        </w:rPr>
        <w:t>Այսպես</w:t>
      </w:r>
      <w:r w:rsidR="004D0C1F" w:rsidRPr="004D0C1F">
        <w:rPr>
          <w:rFonts w:ascii="GHEA Grapalat" w:hAnsi="GHEA Grapalat"/>
          <w:lang w:val="hy-AM"/>
        </w:rPr>
        <w:t>,</w:t>
      </w:r>
      <w:r w:rsidR="000A2A89" w:rsidRPr="004544A0">
        <w:rPr>
          <w:rFonts w:ascii="GHEA Grapalat" w:hAnsi="GHEA Grapalat" w:cs="Sylfaen"/>
          <w:lang w:val="af-ZA"/>
        </w:rPr>
        <w:t xml:space="preserve"> </w:t>
      </w:r>
      <w:r w:rsidR="004544A0" w:rsidRPr="004544A0">
        <w:rPr>
          <w:rFonts w:ascii="GHEA Grapalat" w:hAnsi="GHEA Grapalat" w:cs="Sylfaen"/>
          <w:lang w:val="af-ZA"/>
        </w:rPr>
        <w:t xml:space="preserve">ՀՀ Սահմանադրության </w:t>
      </w:r>
      <w:r w:rsidR="004544A0">
        <w:rPr>
          <w:rFonts w:ascii="GHEA Grapalat" w:hAnsi="GHEA Grapalat" w:cs="Sylfaen"/>
          <w:lang w:val="hy-AM"/>
        </w:rPr>
        <w:t>79-րդ հոդվածի համաձայն՝ հ</w:t>
      </w:r>
      <w:r w:rsidR="004544A0" w:rsidRPr="004544A0">
        <w:rPr>
          <w:rFonts w:ascii="GHEA Grapalat" w:hAnsi="GHEA Grapalat" w:cs="Sylfaen"/>
          <w:lang w:val="hy-AM"/>
        </w:rPr>
        <w:t>իմնական իրավունքները և ազատությունները սահմանափակելիս օրենքները պետք է սահմանեն այդ</w:t>
      </w:r>
      <w:r w:rsidR="004544A0">
        <w:rPr>
          <w:rFonts w:ascii="GHEA Grapalat" w:hAnsi="GHEA Grapalat" w:cs="Sylfaen"/>
          <w:lang w:val="hy-AM"/>
        </w:rPr>
        <w:t xml:space="preserve"> </w:t>
      </w:r>
      <w:r w:rsidR="004544A0" w:rsidRPr="00904AC7">
        <w:rPr>
          <w:rFonts w:ascii="GHEA Grapalat" w:hAnsi="GHEA Grapalat" w:cs="Sylfaen"/>
          <w:lang w:val="hy-AM"/>
        </w:rPr>
        <w:t xml:space="preserve">սահմանափակումների հիմքերը և ծավալը, լինեն բավարար չափով որոշակի, որպեսզի այդ իրավունքների և ազատությունների կրողները և </w:t>
      </w:r>
      <w:proofErr w:type="spellStart"/>
      <w:r w:rsidR="004544A0" w:rsidRPr="00904AC7">
        <w:rPr>
          <w:rFonts w:ascii="GHEA Grapalat" w:hAnsi="GHEA Grapalat" w:cs="Sylfaen"/>
          <w:lang w:val="hy-AM"/>
        </w:rPr>
        <w:t>հասցեատերերն</w:t>
      </w:r>
      <w:proofErr w:type="spellEnd"/>
      <w:r w:rsidR="004544A0" w:rsidRPr="00904AC7">
        <w:rPr>
          <w:rFonts w:ascii="GHEA Grapalat" w:hAnsi="GHEA Grapalat" w:cs="Sylfaen"/>
          <w:lang w:val="hy-AM"/>
        </w:rPr>
        <w:t xml:space="preserve"> ի վիճակի լինեն </w:t>
      </w:r>
      <w:proofErr w:type="spellStart"/>
      <w:r w:rsidR="004544A0" w:rsidRPr="00904AC7">
        <w:rPr>
          <w:rFonts w:ascii="GHEA Grapalat" w:hAnsi="GHEA Grapalat" w:cs="Sylfaen"/>
          <w:lang w:val="hy-AM"/>
        </w:rPr>
        <w:t>դրսևորելու</w:t>
      </w:r>
      <w:proofErr w:type="spellEnd"/>
      <w:r w:rsidR="004544A0" w:rsidRPr="00904AC7">
        <w:rPr>
          <w:rFonts w:ascii="GHEA Grapalat" w:hAnsi="GHEA Grapalat" w:cs="Sylfaen"/>
          <w:lang w:val="hy-AM"/>
        </w:rPr>
        <w:t xml:space="preserve"> համապատասխան վարքագիծ:</w:t>
      </w:r>
      <w:r w:rsidR="004544A0" w:rsidRPr="00904AC7">
        <w:rPr>
          <w:rFonts w:ascii="GHEA Grapalat" w:hAnsi="GHEA Grapalat" w:cs="Sylfaen"/>
          <w:lang w:val="af-ZA"/>
        </w:rPr>
        <w:t xml:space="preserve"> </w:t>
      </w:r>
      <w:r w:rsidR="00DB2585">
        <w:rPr>
          <w:rFonts w:ascii="GHEA Grapalat" w:hAnsi="GHEA Grapalat" w:cs="Times Armenian"/>
          <w:bCs/>
          <w:iCs/>
          <w:noProof/>
          <w:lang w:val="hy-AM"/>
        </w:rPr>
        <w:t>Ե</w:t>
      </w:r>
      <w:r w:rsidR="004544A0" w:rsidRPr="00904AC7">
        <w:rPr>
          <w:rFonts w:ascii="GHEA Grapalat" w:hAnsi="GHEA Grapalat" w:cs="Times Armenian"/>
          <w:bCs/>
          <w:iCs/>
          <w:noProof/>
          <w:lang w:val="hy-AM"/>
        </w:rPr>
        <w:t>վրոպական դատարանի նախադեպային իրավունքով</w:t>
      </w:r>
      <w:r w:rsidR="00C365A9" w:rsidRPr="00904AC7">
        <w:rPr>
          <w:rFonts w:ascii="GHEA Grapalat" w:hAnsi="GHEA Grapalat" w:cs="Times Armenian"/>
          <w:bCs/>
          <w:iCs/>
          <w:noProof/>
          <w:lang w:val="hy-AM"/>
        </w:rPr>
        <w:t xml:space="preserve"> </w:t>
      </w:r>
      <w:r w:rsidR="004544A0" w:rsidRPr="00904AC7">
        <w:rPr>
          <w:rFonts w:ascii="GHEA Grapalat" w:hAnsi="GHEA Grapalat" w:cs="Times Armenian"/>
          <w:bCs/>
          <w:iCs/>
          <w:noProof/>
          <w:lang w:val="hy-AM"/>
        </w:rPr>
        <w:t xml:space="preserve">հաստատվել է, որ 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>«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օրենքի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որակ</w:t>
      </w:r>
      <w:r w:rsidR="002052C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ը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»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ենթադրում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որ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ազգային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օրենքը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պետք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բավարար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կերպով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հասանելի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լինի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հստակ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կիրառման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մեջ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կանխատեսելի՝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կամայականության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բոլոր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տեսակի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proofErr w:type="spellStart"/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ռիսկերից</w:t>
      </w:r>
      <w:proofErr w:type="spellEnd"/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խուսափելու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համար</w:t>
      </w:r>
      <w:r w:rsidR="004544A0" w:rsidRPr="00904AC7">
        <w:rPr>
          <w:rStyle w:val="FootnoteReference"/>
          <w:rFonts w:ascii="GHEA Grapalat" w:eastAsia="Calibri" w:hAnsi="GHEA Grapalat" w:cs="Sylfaen"/>
          <w:color w:val="000000"/>
          <w:shd w:val="clear" w:color="auto" w:fill="FFFFFF"/>
          <w:lang w:val="hy-AM"/>
        </w:rPr>
        <w:footnoteReference w:id="4"/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: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«Մարդու իրավունքների և հիմնարար ազատությունների պաշտպանության մասին»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proofErr w:type="spellStart"/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եվրոպական</w:t>
      </w:r>
      <w:proofErr w:type="spellEnd"/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կոնվենցիայի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սահմանած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«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օրինականության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»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չափանիշն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այսպիսով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պահանջում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որ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բոլոր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օրենքները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բավարար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չափով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հստակ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լինեն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որպեսզի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թույլ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տան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անձին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եթե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անհրաժեշտ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համապատասխան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խորհրդով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հանգամանքների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ներքո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կանխատեսել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այն </w:t>
      </w:r>
      <w:proofErr w:type="spellStart"/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հետևանքները</w:t>
      </w:r>
      <w:proofErr w:type="spellEnd"/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որոնք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համապատասխան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գործողությունը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կարող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4544A0" w:rsidRPr="00904AC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4544A0" w:rsidRPr="00904AC7">
        <w:rPr>
          <w:rFonts w:ascii="GHEA Grapalat" w:hAnsi="GHEA Grapalat" w:cs="Sylfaen"/>
          <w:color w:val="000000"/>
          <w:shd w:val="clear" w:color="auto" w:fill="FFFFFF"/>
          <w:lang w:val="hy-AM"/>
        </w:rPr>
        <w:t>առաջացնել:</w:t>
      </w:r>
      <w:r w:rsidR="004544A0" w:rsidRPr="00904AC7">
        <w:rPr>
          <w:rStyle w:val="FootnoteReference"/>
          <w:rFonts w:ascii="GHEA Grapalat" w:eastAsia="Calibri" w:hAnsi="GHEA Grapalat" w:cs="Sylfaen"/>
          <w:color w:val="000000"/>
          <w:shd w:val="clear" w:color="auto" w:fill="FFFFFF"/>
          <w:lang w:val="hy-AM"/>
        </w:rPr>
        <w:footnoteReference w:id="5"/>
      </w:r>
    </w:p>
    <w:p w:rsidR="0022569C" w:rsidRPr="004D0C1F" w:rsidRDefault="00904AC7" w:rsidP="00F33F4D">
      <w:pPr>
        <w:pStyle w:val="ListParagraph"/>
        <w:spacing w:line="276" w:lineRule="auto"/>
        <w:ind w:left="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Անհրաժեշտ է ընդգծել, որ Օրենսգրքով սահմանված չեն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  <w:lang w:val="hy-AM"/>
        </w:rPr>
        <w:t>կարգավորումներ</w:t>
      </w:r>
      <w:proofErr w:type="spellEnd"/>
      <w:r>
        <w:rPr>
          <w:rFonts w:ascii="GHEA Grapalat" w:hAnsi="GHEA Grapalat" w:cs="Sylfaen"/>
          <w:lang w:val="hy-AM"/>
        </w:rPr>
        <w:t>, թե մահացածի իրավունքների վերականգ</w:t>
      </w:r>
      <w:r w:rsidR="000840C3" w:rsidRPr="004D0C1F"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Sylfaen"/>
          <w:lang w:val="hy-AM"/>
        </w:rPr>
        <w:t>ման դեպքում ինչպես պետք է գնահատվի գործի վարույթը վերաբացելու անհրաժեշտությունը:</w:t>
      </w:r>
      <w:r w:rsidR="00C5706D" w:rsidRPr="00A26D02">
        <w:rPr>
          <w:rFonts w:ascii="GHEA Grapalat" w:hAnsi="GHEA Grapalat" w:cs="Sylfaen"/>
          <w:lang w:val="hy-AM"/>
        </w:rPr>
        <w:t xml:space="preserve"> </w:t>
      </w:r>
      <w:r w:rsidR="00DF4C79" w:rsidRPr="00A26D02">
        <w:rPr>
          <w:rFonts w:ascii="GHEA Grapalat" w:hAnsi="GHEA Grapalat" w:cs="Sylfaen"/>
          <w:lang w:val="hy-AM"/>
        </w:rPr>
        <w:t>Ավելին,</w:t>
      </w:r>
      <w:r w:rsidR="00C5706D" w:rsidRPr="00A26D02">
        <w:rPr>
          <w:rFonts w:ascii="GHEA Grapalat" w:hAnsi="GHEA Grapalat" w:cs="Sylfaen"/>
          <w:lang w:val="hy-AM"/>
        </w:rPr>
        <w:t xml:space="preserve"> </w:t>
      </w:r>
      <w:r w:rsidR="00F33F4D" w:rsidRPr="00F33F4D">
        <w:rPr>
          <w:rFonts w:ascii="GHEA Grapalat" w:hAnsi="GHEA Grapalat" w:cs="Sylfaen"/>
          <w:lang w:val="hy-AM"/>
        </w:rPr>
        <w:t xml:space="preserve">գործով վարույթը կարճելու, քրեական հետապնդումը դադարեցնելու կամ քրեական հետապնդում չիրականացնելու մասին քրեական հետապնդման մարմնի վերջնական որոշման` նոր կամ նոր </w:t>
      </w:r>
      <w:proofErr w:type="spellStart"/>
      <w:r w:rsidR="00F33F4D" w:rsidRPr="00F33F4D">
        <w:rPr>
          <w:rFonts w:ascii="GHEA Grapalat" w:hAnsi="GHEA Grapalat" w:cs="Sylfaen"/>
          <w:lang w:val="hy-AM"/>
        </w:rPr>
        <w:t>երևան</w:t>
      </w:r>
      <w:proofErr w:type="spellEnd"/>
      <w:r w:rsidR="00F33F4D" w:rsidRPr="00F33F4D">
        <w:rPr>
          <w:rFonts w:ascii="GHEA Grapalat" w:hAnsi="GHEA Grapalat" w:cs="Sylfaen"/>
          <w:lang w:val="hy-AM"/>
        </w:rPr>
        <w:t xml:space="preserve"> եկած հանգամանքների հիմքով վերանայման հնարավորության համակարգային </w:t>
      </w:r>
      <w:proofErr w:type="spellStart"/>
      <w:r w:rsidR="00F33F4D" w:rsidRPr="00F33F4D">
        <w:rPr>
          <w:rFonts w:ascii="GHEA Grapalat" w:hAnsi="GHEA Grapalat" w:cs="Sylfaen"/>
          <w:lang w:val="hy-AM"/>
        </w:rPr>
        <w:lastRenderedPageBreak/>
        <w:t>իրավակարգավորման</w:t>
      </w:r>
      <w:proofErr w:type="spellEnd"/>
      <w:r w:rsidR="00F33F4D" w:rsidRPr="00F33F4D">
        <w:rPr>
          <w:rFonts w:ascii="GHEA Grapalat" w:hAnsi="GHEA Grapalat" w:cs="Sylfaen"/>
          <w:lang w:val="hy-AM"/>
        </w:rPr>
        <w:t xml:space="preserve"> </w:t>
      </w:r>
      <w:proofErr w:type="spellStart"/>
      <w:r w:rsidR="00F33F4D" w:rsidRPr="00F33F4D">
        <w:rPr>
          <w:rFonts w:ascii="GHEA Grapalat" w:hAnsi="GHEA Grapalat" w:cs="Sylfaen"/>
          <w:lang w:val="hy-AM"/>
        </w:rPr>
        <w:t>բացակայո</w:t>
      </w:r>
      <w:r w:rsidR="00F33F4D">
        <w:rPr>
          <w:rFonts w:ascii="GHEA Grapalat" w:hAnsi="GHEA Grapalat" w:cs="Sylfaen"/>
          <w:lang w:val="hy-AM"/>
        </w:rPr>
        <w:t>ւթյ</w:t>
      </w:r>
      <w:r w:rsidR="00F33F4D" w:rsidRPr="00A26D02">
        <w:rPr>
          <w:rFonts w:ascii="GHEA Grapalat" w:hAnsi="GHEA Grapalat" w:cs="Sylfaen"/>
          <w:lang w:val="hy-AM"/>
        </w:rPr>
        <w:t>անն</w:t>
      </w:r>
      <w:proofErr w:type="spellEnd"/>
      <w:r w:rsidR="00F33F4D" w:rsidRPr="00A26D02">
        <w:rPr>
          <w:rFonts w:ascii="GHEA Grapalat" w:hAnsi="GHEA Grapalat" w:cs="Sylfaen"/>
          <w:lang w:val="hy-AM"/>
        </w:rPr>
        <w:t xml:space="preserve"> անդրադարձել է </w:t>
      </w:r>
      <w:r w:rsidR="001639A9">
        <w:rPr>
          <w:rFonts w:ascii="GHEA Grapalat" w:hAnsi="GHEA Grapalat" w:cs="Sylfaen"/>
          <w:lang w:val="hy-AM"/>
        </w:rPr>
        <w:t>ՀՀ սահմանադրական դատարան</w:t>
      </w:r>
      <w:r w:rsidR="00F33F4D" w:rsidRPr="00A26D02">
        <w:rPr>
          <w:rFonts w:ascii="GHEA Grapalat" w:hAnsi="GHEA Grapalat" w:cs="Sylfaen"/>
          <w:lang w:val="hy-AM"/>
        </w:rPr>
        <w:t>ը</w:t>
      </w:r>
      <w:r w:rsidR="001639A9" w:rsidRPr="001639A9">
        <w:rPr>
          <w:rFonts w:ascii="GHEA Grapalat" w:hAnsi="GHEA Grapalat" w:cs="Sylfaen"/>
          <w:lang w:val="hy-AM"/>
        </w:rPr>
        <w:t xml:space="preserve"> </w:t>
      </w:r>
      <w:r w:rsidR="001639A9">
        <w:rPr>
          <w:rFonts w:ascii="GHEA Grapalat" w:hAnsi="GHEA Grapalat" w:cs="Sylfaen"/>
          <w:lang w:val="hy-AM"/>
        </w:rPr>
        <w:t xml:space="preserve">2011 թվականի փետրվարի 4-ի </w:t>
      </w:r>
      <w:r w:rsidR="001639A9" w:rsidRPr="001639A9">
        <w:rPr>
          <w:rFonts w:ascii="GHEA Grapalat" w:hAnsi="GHEA Grapalat" w:cs="Sylfaen"/>
          <w:lang w:val="hy-AM"/>
        </w:rPr>
        <w:t xml:space="preserve"> </w:t>
      </w:r>
      <w:r w:rsidR="001639A9">
        <w:rPr>
          <w:rFonts w:ascii="GHEA Grapalat" w:hAnsi="GHEA Grapalat" w:cs="Sylfaen"/>
          <w:lang w:val="hy-AM"/>
        </w:rPr>
        <w:t xml:space="preserve">թիվ </w:t>
      </w:r>
      <w:r w:rsidR="001639A9" w:rsidRPr="001639A9">
        <w:rPr>
          <w:rFonts w:ascii="GHEA Grapalat" w:hAnsi="GHEA Grapalat" w:cs="Sylfaen"/>
          <w:lang w:val="hy-AM"/>
        </w:rPr>
        <w:t>ՍԴՈ-935 որոշ</w:t>
      </w:r>
      <w:r w:rsidR="001639A9">
        <w:rPr>
          <w:rFonts w:ascii="GHEA Grapalat" w:hAnsi="GHEA Grapalat" w:cs="Sylfaen"/>
          <w:lang w:val="hy-AM"/>
        </w:rPr>
        <w:t>մամբ</w:t>
      </w:r>
      <w:r w:rsidR="00F33F4D" w:rsidRPr="00A26D02">
        <w:rPr>
          <w:rFonts w:ascii="GHEA Grapalat" w:hAnsi="GHEA Grapalat" w:cs="Sylfaen"/>
          <w:lang w:val="hy-AM"/>
        </w:rPr>
        <w:t>, որով</w:t>
      </w:r>
      <w:r w:rsidR="00F609A0" w:rsidRPr="00A26D02">
        <w:rPr>
          <w:rFonts w:ascii="GHEA Grapalat" w:hAnsi="GHEA Grapalat" w:cs="Sylfaen"/>
          <w:lang w:val="hy-AM"/>
        </w:rPr>
        <w:t xml:space="preserve"> դատարանը</w:t>
      </w:r>
      <w:r w:rsidR="001639A9">
        <w:rPr>
          <w:rFonts w:ascii="GHEA Grapalat" w:hAnsi="GHEA Grapalat" w:cs="Sylfaen"/>
          <w:lang w:val="hy-AM"/>
        </w:rPr>
        <w:t xml:space="preserve"> </w:t>
      </w:r>
      <w:r w:rsidR="001639A9" w:rsidRPr="001639A9">
        <w:rPr>
          <w:rFonts w:ascii="GHEA Grapalat" w:hAnsi="GHEA Grapalat" w:cs="Sylfaen"/>
          <w:lang w:val="hy-AM"/>
        </w:rPr>
        <w:t>ՀՀ Սահմանադրության 18-րդ հոդվածի 1-ին մասի</w:t>
      </w:r>
      <w:r w:rsidR="001639A9">
        <w:rPr>
          <w:rFonts w:ascii="GHEA Grapalat" w:hAnsi="GHEA Grapalat" w:cs="Sylfaen"/>
          <w:lang w:val="hy-AM"/>
        </w:rPr>
        <w:t xml:space="preserve"> (2005 թվականի խմբագրությամբ) </w:t>
      </w:r>
      <w:r w:rsidR="001639A9" w:rsidRPr="001639A9">
        <w:rPr>
          <w:rFonts w:ascii="GHEA Grapalat" w:hAnsi="GHEA Grapalat" w:cs="Sylfaen"/>
          <w:lang w:val="hy-AM"/>
        </w:rPr>
        <w:t xml:space="preserve">պահանջներին հակասող և անվավեր </w:t>
      </w:r>
      <w:r w:rsidR="001639A9">
        <w:rPr>
          <w:rFonts w:ascii="GHEA Grapalat" w:hAnsi="GHEA Grapalat" w:cs="Sylfaen"/>
          <w:lang w:val="hy-AM"/>
        </w:rPr>
        <w:t xml:space="preserve">է ճանաչել ՀՀ քրեական դատավարության օրենսգրքի </w:t>
      </w:r>
      <w:r w:rsidR="001639A9" w:rsidRPr="001639A9">
        <w:rPr>
          <w:rFonts w:ascii="GHEA Grapalat" w:hAnsi="GHEA Grapalat" w:cs="Sylfaen"/>
          <w:lang w:val="hy-AM"/>
        </w:rPr>
        <w:t>426.1 հոդվածի 1-ին մասի «միայն» արտահայտությունը` այնքանով, որքանով</w:t>
      </w:r>
      <w:r w:rsidR="001639A9">
        <w:rPr>
          <w:rFonts w:ascii="GHEA Grapalat" w:hAnsi="GHEA Grapalat" w:cs="Sylfaen"/>
          <w:lang w:val="hy-AM"/>
        </w:rPr>
        <w:t xml:space="preserve"> այն</w:t>
      </w:r>
      <w:r w:rsidR="001639A9" w:rsidRPr="001639A9">
        <w:rPr>
          <w:rFonts w:ascii="GHEA Grapalat" w:hAnsi="GHEA Grapalat" w:cs="Sylfaen"/>
          <w:lang w:val="hy-AM"/>
        </w:rPr>
        <w:t xml:space="preserve"> բացառում է նոր </w:t>
      </w:r>
      <w:proofErr w:type="spellStart"/>
      <w:r w:rsidR="001639A9" w:rsidRPr="001639A9">
        <w:rPr>
          <w:rFonts w:ascii="GHEA Grapalat" w:hAnsi="GHEA Grapalat" w:cs="Sylfaen"/>
          <w:lang w:val="hy-AM"/>
        </w:rPr>
        <w:t>երևան</w:t>
      </w:r>
      <w:proofErr w:type="spellEnd"/>
      <w:r w:rsidR="001639A9" w:rsidRPr="001639A9">
        <w:rPr>
          <w:rFonts w:ascii="GHEA Grapalat" w:hAnsi="GHEA Grapalat" w:cs="Sylfaen"/>
          <w:lang w:val="hy-AM"/>
        </w:rPr>
        <w:t xml:space="preserve"> եկած կամ նոր հանգամանքների հիմքով այլ վերջնական իրավական ակտերի օրենքով սահմանված կարգով վերանայումը` դրանով իսկ վտանգելով անձի` մասնավորապես, </w:t>
      </w:r>
      <w:proofErr w:type="spellStart"/>
      <w:r w:rsidR="001639A9" w:rsidRPr="001639A9">
        <w:rPr>
          <w:rFonts w:ascii="GHEA Grapalat" w:hAnsi="GHEA Grapalat" w:cs="Sylfaen"/>
          <w:lang w:val="hy-AM"/>
        </w:rPr>
        <w:t>մինչդատական</w:t>
      </w:r>
      <w:proofErr w:type="spellEnd"/>
      <w:r w:rsidR="001639A9" w:rsidRPr="001639A9">
        <w:rPr>
          <w:rFonts w:ascii="GHEA Grapalat" w:hAnsi="GHEA Grapalat" w:cs="Sylfaen"/>
          <w:lang w:val="hy-AM"/>
        </w:rPr>
        <w:t xml:space="preserve"> վարույթում պետական իրավասու մարմինների </w:t>
      </w:r>
      <w:proofErr w:type="spellStart"/>
      <w:r w:rsidR="001639A9" w:rsidRPr="001639A9">
        <w:rPr>
          <w:rFonts w:ascii="GHEA Grapalat" w:hAnsi="GHEA Grapalat" w:cs="Sylfaen"/>
          <w:lang w:val="hy-AM"/>
        </w:rPr>
        <w:t>առջև</w:t>
      </w:r>
      <w:proofErr w:type="spellEnd"/>
      <w:r w:rsidR="001639A9" w:rsidRPr="001639A9">
        <w:rPr>
          <w:rFonts w:ascii="GHEA Grapalat" w:hAnsi="GHEA Grapalat" w:cs="Sylfaen"/>
          <w:lang w:val="hy-AM"/>
        </w:rPr>
        <w:t xml:space="preserve"> իրավական պաշտպանության արդյունավետ միջոցների իրավունքը</w:t>
      </w:r>
      <w:r w:rsidR="001639A9">
        <w:rPr>
          <w:rFonts w:ascii="GHEA Grapalat" w:hAnsi="GHEA Grapalat" w:cs="Sylfaen"/>
          <w:lang w:val="hy-AM"/>
        </w:rPr>
        <w:t>:</w:t>
      </w:r>
    </w:p>
    <w:p w:rsidR="004A67A4" w:rsidRPr="0022569C" w:rsidRDefault="007F773A" w:rsidP="0022569C">
      <w:pPr>
        <w:pStyle w:val="ListParagraph"/>
        <w:spacing w:line="276" w:lineRule="auto"/>
        <w:ind w:left="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Այս առումով հարկ է նկատել, որ Գերմանիայի Դաշնության քրեական դատավարության օրենսգիրքը նախատեսում է </w:t>
      </w:r>
      <w:proofErr w:type="spellStart"/>
      <w:r>
        <w:rPr>
          <w:rFonts w:ascii="GHEA Grapalat" w:hAnsi="GHEA Grapalat" w:cs="Sylfaen"/>
          <w:lang w:val="hy-AM"/>
        </w:rPr>
        <w:t>կարգավորումներ</w:t>
      </w:r>
      <w:proofErr w:type="spellEnd"/>
      <w:r>
        <w:rPr>
          <w:rFonts w:ascii="GHEA Grapalat" w:hAnsi="GHEA Grapalat" w:cs="Sylfaen"/>
          <w:lang w:val="hy-AM"/>
        </w:rPr>
        <w:t xml:space="preserve"> քրեական գործի վարույթի վերաբացման համար: Այսպես, նշյալ օրենսգրքի 361-րդ բաժնի </w:t>
      </w:r>
      <w:r w:rsidR="00350681">
        <w:rPr>
          <w:rFonts w:ascii="GHEA Grapalat" w:hAnsi="GHEA Grapalat" w:cs="Sylfaen"/>
          <w:lang w:val="hy-AM"/>
        </w:rPr>
        <w:t xml:space="preserve">2-րդ մասի </w:t>
      </w:r>
      <w:r>
        <w:rPr>
          <w:rFonts w:ascii="GHEA Grapalat" w:hAnsi="GHEA Grapalat" w:cs="Sylfaen"/>
          <w:lang w:val="hy-AM"/>
        </w:rPr>
        <w:t xml:space="preserve">համաձայն՝ </w:t>
      </w:r>
      <w:r w:rsidR="00350681">
        <w:rPr>
          <w:rFonts w:ascii="GHEA Grapalat" w:hAnsi="GHEA Grapalat" w:cs="Sylfaen"/>
          <w:lang w:val="hy-AM"/>
        </w:rPr>
        <w:t xml:space="preserve">անձի մահվան դեպքում գործի վերաբացման դիմում կարող են ներկայացնել մահացածի ամուսինը, կինը, մտերիմ ազգականները </w:t>
      </w:r>
      <w:r w:rsidR="00350681" w:rsidRPr="00350681">
        <w:rPr>
          <w:rFonts w:ascii="GHEA Grapalat" w:hAnsi="GHEA Grapalat" w:cs="Sylfaen"/>
          <w:lang w:val="hy-AM"/>
        </w:rPr>
        <w:t>(</w:t>
      </w:r>
      <w:proofErr w:type="spellStart"/>
      <w:r w:rsidR="00350681" w:rsidRPr="00350681">
        <w:rPr>
          <w:rFonts w:ascii="GHEA Grapalat" w:hAnsi="GHEA Grapalat" w:cs="Sylfaen"/>
          <w:lang w:val="hy-AM"/>
        </w:rPr>
        <w:t>the</w:t>
      </w:r>
      <w:proofErr w:type="spellEnd"/>
      <w:r w:rsidR="00350681" w:rsidRPr="00350681">
        <w:rPr>
          <w:rFonts w:ascii="GHEA Grapalat" w:hAnsi="GHEA Grapalat" w:cs="Sylfaen"/>
          <w:lang w:val="hy-AM"/>
        </w:rPr>
        <w:t xml:space="preserve"> </w:t>
      </w:r>
      <w:proofErr w:type="spellStart"/>
      <w:r w:rsidR="00350681" w:rsidRPr="00350681">
        <w:rPr>
          <w:rFonts w:ascii="GHEA Grapalat" w:hAnsi="GHEA Grapalat" w:cs="Sylfaen"/>
          <w:lang w:val="hy-AM"/>
        </w:rPr>
        <w:t>relatives</w:t>
      </w:r>
      <w:proofErr w:type="spellEnd"/>
      <w:r w:rsidR="00350681" w:rsidRPr="00350681">
        <w:rPr>
          <w:rFonts w:ascii="GHEA Grapalat" w:hAnsi="GHEA Grapalat" w:cs="Sylfaen"/>
          <w:lang w:val="hy-AM"/>
        </w:rPr>
        <w:t xml:space="preserve"> </w:t>
      </w:r>
      <w:proofErr w:type="spellStart"/>
      <w:r w:rsidR="00350681" w:rsidRPr="00350681">
        <w:rPr>
          <w:rFonts w:ascii="GHEA Grapalat" w:hAnsi="GHEA Grapalat" w:cs="Sylfaen"/>
          <w:lang w:val="hy-AM"/>
        </w:rPr>
        <w:t>in</w:t>
      </w:r>
      <w:proofErr w:type="spellEnd"/>
      <w:r w:rsidR="00350681" w:rsidRPr="00350681">
        <w:rPr>
          <w:rFonts w:ascii="GHEA Grapalat" w:hAnsi="GHEA Grapalat" w:cs="Sylfaen"/>
          <w:lang w:val="hy-AM"/>
        </w:rPr>
        <w:t xml:space="preserve"> </w:t>
      </w:r>
      <w:proofErr w:type="spellStart"/>
      <w:r w:rsidR="00350681" w:rsidRPr="00350681">
        <w:rPr>
          <w:rFonts w:ascii="GHEA Grapalat" w:hAnsi="GHEA Grapalat" w:cs="Sylfaen"/>
          <w:lang w:val="hy-AM"/>
        </w:rPr>
        <w:t>ascending</w:t>
      </w:r>
      <w:proofErr w:type="spellEnd"/>
      <w:r w:rsidR="00350681" w:rsidRPr="00350681">
        <w:rPr>
          <w:rFonts w:ascii="GHEA Grapalat" w:hAnsi="GHEA Grapalat" w:cs="Sylfaen"/>
          <w:lang w:val="hy-AM"/>
        </w:rPr>
        <w:t xml:space="preserve"> </w:t>
      </w:r>
      <w:proofErr w:type="spellStart"/>
      <w:r w:rsidR="00350681" w:rsidRPr="00350681">
        <w:rPr>
          <w:rFonts w:ascii="GHEA Grapalat" w:hAnsi="GHEA Grapalat" w:cs="Sylfaen"/>
          <w:lang w:val="hy-AM"/>
        </w:rPr>
        <w:t>and</w:t>
      </w:r>
      <w:proofErr w:type="spellEnd"/>
      <w:r w:rsidR="00350681" w:rsidRPr="00350681">
        <w:rPr>
          <w:rFonts w:ascii="GHEA Grapalat" w:hAnsi="GHEA Grapalat" w:cs="Sylfaen"/>
          <w:lang w:val="hy-AM"/>
        </w:rPr>
        <w:t xml:space="preserve"> </w:t>
      </w:r>
      <w:proofErr w:type="spellStart"/>
      <w:r w:rsidR="00350681" w:rsidRPr="00350681">
        <w:rPr>
          <w:rFonts w:ascii="GHEA Grapalat" w:hAnsi="GHEA Grapalat" w:cs="Sylfaen"/>
          <w:lang w:val="hy-AM"/>
        </w:rPr>
        <w:t>descending</w:t>
      </w:r>
      <w:proofErr w:type="spellEnd"/>
      <w:r w:rsidR="00350681" w:rsidRPr="00350681">
        <w:rPr>
          <w:rFonts w:ascii="GHEA Grapalat" w:hAnsi="GHEA Grapalat" w:cs="Sylfaen"/>
          <w:lang w:val="hy-AM"/>
        </w:rPr>
        <w:t xml:space="preserve"> </w:t>
      </w:r>
      <w:proofErr w:type="spellStart"/>
      <w:r w:rsidR="00350681" w:rsidRPr="00350681">
        <w:rPr>
          <w:rFonts w:ascii="GHEA Grapalat" w:hAnsi="GHEA Grapalat" w:cs="Sylfaen"/>
          <w:lang w:val="hy-AM"/>
        </w:rPr>
        <w:t>line</w:t>
      </w:r>
      <w:proofErr w:type="spellEnd"/>
      <w:r w:rsidR="00350681" w:rsidRPr="00350681">
        <w:rPr>
          <w:rFonts w:ascii="GHEA Grapalat" w:hAnsi="GHEA Grapalat" w:cs="Sylfaen"/>
          <w:lang w:val="hy-AM"/>
        </w:rPr>
        <w:t xml:space="preserve">) </w:t>
      </w:r>
      <w:r w:rsidR="00350681">
        <w:rPr>
          <w:rFonts w:ascii="GHEA Grapalat" w:hAnsi="GHEA Grapalat" w:cs="Sylfaen"/>
          <w:lang w:val="hy-AM"/>
        </w:rPr>
        <w:t>ինչպես նաև մահացածի քույրերն ու եղբայրները</w:t>
      </w:r>
      <w:r w:rsidR="00350681">
        <w:rPr>
          <w:rStyle w:val="FootnoteReference"/>
          <w:rFonts w:ascii="GHEA Grapalat" w:hAnsi="GHEA Grapalat" w:cs="Sylfaen"/>
          <w:lang w:val="hy-AM"/>
        </w:rPr>
        <w:footnoteReference w:id="6"/>
      </w:r>
      <w:r w:rsidR="00350681" w:rsidRPr="00350681">
        <w:rPr>
          <w:rFonts w:ascii="GHEA Grapalat" w:hAnsi="GHEA Grapalat" w:cs="Sylfaen"/>
          <w:lang w:val="hy-AM"/>
        </w:rPr>
        <w:t>:</w:t>
      </w:r>
    </w:p>
    <w:p w:rsidR="00101FF4" w:rsidRPr="00D41821" w:rsidRDefault="009366AF" w:rsidP="00D41821">
      <w:pPr>
        <w:pStyle w:val="ListParagraph"/>
        <w:spacing w:line="276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A26D02">
        <w:rPr>
          <w:rFonts w:ascii="GHEA Grapalat" w:hAnsi="GHEA Grapalat"/>
          <w:lang w:val="hy-AM"/>
        </w:rPr>
        <w:t>Այսպիսով, խ</w:t>
      </w:r>
      <w:r w:rsidR="004A67A4" w:rsidRPr="004A67A4">
        <w:rPr>
          <w:rFonts w:ascii="GHEA Grapalat" w:hAnsi="GHEA Grapalat"/>
          <w:lang w:val="hy-AM"/>
        </w:rPr>
        <w:t xml:space="preserve">նդրո առարկա </w:t>
      </w:r>
      <w:proofErr w:type="spellStart"/>
      <w:r w:rsidR="004A67A4" w:rsidRPr="004A67A4">
        <w:rPr>
          <w:rFonts w:ascii="GHEA Grapalat" w:hAnsi="GHEA Grapalat"/>
          <w:lang w:val="hy-AM"/>
        </w:rPr>
        <w:t>կարգավորումների</w:t>
      </w:r>
      <w:proofErr w:type="spellEnd"/>
      <w:r w:rsidR="004A67A4" w:rsidRPr="004A67A4">
        <w:rPr>
          <w:rFonts w:ascii="GHEA Grapalat" w:hAnsi="GHEA Grapalat"/>
          <w:lang w:val="hy-AM"/>
        </w:rPr>
        <w:t xml:space="preserve"> և դրանց </w:t>
      </w:r>
      <w:proofErr w:type="spellStart"/>
      <w:r w:rsidR="004A67A4" w:rsidRPr="004A67A4">
        <w:rPr>
          <w:rFonts w:ascii="GHEA Grapalat" w:hAnsi="GHEA Grapalat"/>
          <w:lang w:val="hy-AM"/>
        </w:rPr>
        <w:t>իրավակիրառ</w:t>
      </w:r>
      <w:proofErr w:type="spellEnd"/>
      <w:r w:rsidR="004A67A4" w:rsidRPr="004A67A4">
        <w:rPr>
          <w:rFonts w:ascii="GHEA Grapalat" w:hAnsi="GHEA Grapalat"/>
          <w:lang w:val="hy-AM"/>
        </w:rPr>
        <w:t xml:space="preserve"> պրակտիկայի վերաբերյալ կատարված </w:t>
      </w:r>
      <w:proofErr w:type="spellStart"/>
      <w:r w:rsidR="004A67A4" w:rsidRPr="004A67A4">
        <w:rPr>
          <w:rFonts w:ascii="GHEA Grapalat" w:hAnsi="GHEA Grapalat"/>
          <w:lang w:val="hy-AM"/>
        </w:rPr>
        <w:t>վերլուծությունից</w:t>
      </w:r>
      <w:proofErr w:type="spellEnd"/>
      <w:r w:rsidR="004A67A4" w:rsidRPr="004A67A4">
        <w:rPr>
          <w:rFonts w:ascii="GHEA Grapalat" w:hAnsi="GHEA Grapalat"/>
          <w:lang w:val="hy-AM"/>
        </w:rPr>
        <w:t xml:space="preserve"> կարելի է եզրահանգել, որ ներպետական օրենսդրությամբ անհրաժեշտ է նախատեսել այնպիսի օրենսդրական </w:t>
      </w:r>
      <w:proofErr w:type="spellStart"/>
      <w:r w:rsidR="004A67A4" w:rsidRPr="004A67A4">
        <w:rPr>
          <w:rFonts w:ascii="GHEA Grapalat" w:hAnsi="GHEA Grapalat"/>
          <w:lang w:val="hy-AM"/>
        </w:rPr>
        <w:t>կարգավորումներ</w:t>
      </w:r>
      <w:proofErr w:type="spellEnd"/>
      <w:r w:rsidR="004A67A4" w:rsidRPr="004A67A4">
        <w:rPr>
          <w:rFonts w:ascii="GHEA Grapalat" w:hAnsi="GHEA Grapalat"/>
          <w:lang w:val="hy-AM"/>
        </w:rPr>
        <w:t xml:space="preserve">, որոնք կբովանդակեն և կերաշխավորեն անմեղության կանխավարկածի և անձի արժանապատվության իրավունքի </w:t>
      </w:r>
      <w:r w:rsidR="00D61E0A">
        <w:rPr>
          <w:rFonts w:ascii="GHEA Grapalat" w:hAnsi="GHEA Grapalat"/>
          <w:lang w:val="hy-AM"/>
        </w:rPr>
        <w:t xml:space="preserve">պաշտպանությունը, </w:t>
      </w:r>
      <w:r w:rsidR="004A67A4" w:rsidRPr="004A67A4">
        <w:rPr>
          <w:rFonts w:ascii="GHEA Grapalat" w:hAnsi="GHEA Grapalat"/>
          <w:lang w:val="hy-AM"/>
        </w:rPr>
        <w:t>հնարավորություն կտան վերաբացել քրեական գործի վարույթը՝ մահացածի մերձավորների դիմումի հիման վրա՝ պայմանավորված մահացածի իրավունքների վերականգ</w:t>
      </w:r>
      <w:r w:rsidR="005749E6" w:rsidRPr="004D0C1F">
        <w:rPr>
          <w:rFonts w:ascii="GHEA Grapalat" w:hAnsi="GHEA Grapalat"/>
          <w:lang w:val="hy-AM"/>
        </w:rPr>
        <w:t>ն</w:t>
      </w:r>
      <w:r w:rsidR="004A67A4" w:rsidRPr="004A67A4">
        <w:rPr>
          <w:rFonts w:ascii="GHEA Grapalat" w:hAnsi="GHEA Grapalat"/>
          <w:lang w:val="hy-AM"/>
        </w:rPr>
        <w:t>ման անհրաժեշտությամբ:</w:t>
      </w:r>
      <w:r w:rsidR="00F33F4D" w:rsidRPr="00A26D02">
        <w:rPr>
          <w:rFonts w:ascii="GHEA Grapalat" w:hAnsi="GHEA Grapalat"/>
          <w:lang w:val="hy-AM"/>
        </w:rPr>
        <w:t xml:space="preserve"> </w:t>
      </w:r>
      <w:r w:rsidR="00F609A0" w:rsidRPr="00A26D02">
        <w:rPr>
          <w:rFonts w:ascii="GHEA Grapalat" w:hAnsi="GHEA Grapalat"/>
          <w:lang w:val="hy-AM"/>
        </w:rPr>
        <w:t>Իսկ գործող դ</w:t>
      </w:r>
      <w:r w:rsidR="00F33F4D" w:rsidRPr="00A26D02">
        <w:rPr>
          <w:rFonts w:ascii="GHEA Grapalat" w:hAnsi="GHEA Grapalat"/>
          <w:lang w:val="hy-AM"/>
        </w:rPr>
        <w:t>ատավարակա</w:t>
      </w:r>
      <w:r w:rsidR="00F609A0" w:rsidRPr="00A26D02">
        <w:rPr>
          <w:rFonts w:ascii="GHEA Grapalat" w:hAnsi="GHEA Grapalat"/>
          <w:lang w:val="hy-AM"/>
        </w:rPr>
        <w:t xml:space="preserve">ն </w:t>
      </w:r>
      <w:proofErr w:type="spellStart"/>
      <w:r w:rsidR="00F609A0" w:rsidRPr="00A26D02">
        <w:rPr>
          <w:rFonts w:ascii="GHEA Grapalat" w:hAnsi="GHEA Grapalat"/>
          <w:lang w:val="hy-AM"/>
        </w:rPr>
        <w:t>կարգավորումներն</w:t>
      </w:r>
      <w:proofErr w:type="spellEnd"/>
      <w:r w:rsidR="00F609A0" w:rsidRPr="00A26D02">
        <w:rPr>
          <w:rFonts w:ascii="GHEA Grapalat" w:hAnsi="GHEA Grapalat"/>
          <w:lang w:val="hy-AM"/>
        </w:rPr>
        <w:t xml:space="preserve"> այնքանով, որքանով</w:t>
      </w:r>
      <w:r w:rsidR="00F33F4D" w:rsidRPr="00A26D02">
        <w:rPr>
          <w:rFonts w:ascii="GHEA Grapalat" w:hAnsi="GHEA Grapalat"/>
          <w:lang w:val="hy-AM"/>
        </w:rPr>
        <w:t xml:space="preserve"> </w:t>
      </w:r>
      <w:r w:rsidR="00F609A0" w:rsidRPr="00F609A0">
        <w:rPr>
          <w:rFonts w:ascii="GHEA Grapalat" w:hAnsi="GHEA Grapalat"/>
          <w:lang w:val="hy-AM"/>
        </w:rPr>
        <w:t>չեն ամրագրում</w:t>
      </w:r>
      <w:r w:rsidR="00F609A0" w:rsidRPr="00A26D02">
        <w:rPr>
          <w:rFonts w:ascii="GHEA Grapalat" w:hAnsi="GHEA Grapalat"/>
          <w:lang w:val="hy-AM"/>
        </w:rPr>
        <w:t xml:space="preserve"> քրեական գործով վարույթի շրջանակներում</w:t>
      </w:r>
      <w:r w:rsidR="00F609A0" w:rsidRPr="00F33F4D">
        <w:rPr>
          <w:rFonts w:ascii="GHEA Grapalat" w:hAnsi="GHEA Grapalat"/>
          <w:lang w:val="hy-AM"/>
        </w:rPr>
        <w:t xml:space="preserve"> </w:t>
      </w:r>
      <w:r w:rsidR="00F33F4D" w:rsidRPr="00A26D02">
        <w:rPr>
          <w:rFonts w:ascii="GHEA Grapalat" w:hAnsi="GHEA Grapalat"/>
          <w:lang w:val="hy-AM"/>
        </w:rPr>
        <w:t>մահացածի և նրա իրավահաջորդների իրավունքների պաշտպան</w:t>
      </w:r>
      <w:r w:rsidR="00F609A0" w:rsidRPr="00A26D02">
        <w:rPr>
          <w:rFonts w:ascii="GHEA Grapalat" w:hAnsi="GHEA Grapalat"/>
          <w:lang w:val="hy-AM"/>
        </w:rPr>
        <w:t>ո</w:t>
      </w:r>
      <w:r w:rsidR="00F33F4D" w:rsidRPr="00A26D02">
        <w:rPr>
          <w:rFonts w:ascii="GHEA Grapalat" w:hAnsi="GHEA Grapalat"/>
          <w:lang w:val="hy-AM"/>
        </w:rPr>
        <w:t>ւթյ</w:t>
      </w:r>
      <w:r w:rsidR="00F609A0" w:rsidRPr="00A26D02">
        <w:rPr>
          <w:rFonts w:ascii="GHEA Grapalat" w:hAnsi="GHEA Grapalat"/>
          <w:lang w:val="hy-AM"/>
        </w:rPr>
        <w:t>ան</w:t>
      </w:r>
      <w:r w:rsidR="00F609A0" w:rsidRPr="00F609A0">
        <w:rPr>
          <w:rFonts w:ascii="GHEA Grapalat" w:hAnsi="GHEA Grapalat"/>
          <w:lang w:val="hy-AM"/>
        </w:rPr>
        <w:t xml:space="preserve"> արդյունավետ</w:t>
      </w:r>
      <w:r w:rsidR="00F609A0" w:rsidRPr="00F33F4D">
        <w:rPr>
          <w:rFonts w:ascii="GHEA Grapalat" w:hAnsi="GHEA Grapalat"/>
          <w:lang w:val="hy-AM"/>
        </w:rPr>
        <w:t xml:space="preserve"> </w:t>
      </w:r>
      <w:proofErr w:type="spellStart"/>
      <w:r w:rsidR="00F609A0" w:rsidRPr="00F33F4D">
        <w:rPr>
          <w:rFonts w:ascii="GHEA Grapalat" w:hAnsi="GHEA Grapalat"/>
          <w:lang w:val="hy-AM"/>
        </w:rPr>
        <w:t>ընթացակարգեր</w:t>
      </w:r>
      <w:proofErr w:type="spellEnd"/>
      <w:r w:rsidR="00F33F4D" w:rsidRPr="00A26D02">
        <w:rPr>
          <w:rFonts w:ascii="GHEA Grapalat" w:hAnsi="GHEA Grapalat"/>
          <w:lang w:val="hy-AM"/>
        </w:rPr>
        <w:t xml:space="preserve">, մեր համոզմամբ, </w:t>
      </w:r>
      <w:r w:rsidR="00F609A0" w:rsidRPr="00A26D02">
        <w:rPr>
          <w:rFonts w:ascii="GHEA Grapalat" w:hAnsi="GHEA Grapalat"/>
          <w:lang w:val="hy-AM"/>
        </w:rPr>
        <w:t>չեն բավարարում արդար դատաքննության, անմեղության կանխավարկածի և իրավական որոշակիության սահմանադրական պահանջները:</w:t>
      </w:r>
      <w:bookmarkStart w:id="1" w:name="_GoBack"/>
      <w:bookmarkEnd w:id="1"/>
    </w:p>
    <w:sectPr w:rsidR="00101FF4" w:rsidRPr="00D41821" w:rsidSect="009E28F6">
      <w:footerReference w:type="default" r:id="rId8"/>
      <w:pgSz w:w="12240" w:h="15840"/>
      <w:pgMar w:top="993" w:right="1041" w:bottom="900" w:left="1134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04" w:rsidRDefault="002B7304" w:rsidP="00A008B0">
      <w:r>
        <w:separator/>
      </w:r>
    </w:p>
  </w:endnote>
  <w:endnote w:type="continuationSeparator" w:id="0">
    <w:p w:rsidR="002B7304" w:rsidRDefault="002B7304" w:rsidP="00A0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833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F60" w:rsidRDefault="00584384">
        <w:pPr>
          <w:pStyle w:val="Footer"/>
          <w:jc w:val="center"/>
        </w:pPr>
        <w:r>
          <w:fldChar w:fldCharType="begin"/>
        </w:r>
        <w:r w:rsidR="003069E5">
          <w:instrText xml:space="preserve"> PAGE   \* MERGEFORMAT </w:instrText>
        </w:r>
        <w:r>
          <w:fldChar w:fldCharType="separate"/>
        </w:r>
        <w:r w:rsidR="00D418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5F60" w:rsidRDefault="00275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04" w:rsidRDefault="002B7304" w:rsidP="00A008B0">
      <w:r>
        <w:separator/>
      </w:r>
    </w:p>
  </w:footnote>
  <w:footnote w:type="continuationSeparator" w:id="0">
    <w:p w:rsidR="002B7304" w:rsidRDefault="002B7304" w:rsidP="00A008B0">
      <w:r>
        <w:continuationSeparator/>
      </w:r>
    </w:p>
  </w:footnote>
  <w:footnote w:id="1">
    <w:p w:rsidR="00275F60" w:rsidRPr="00EF4168" w:rsidRDefault="00275F60" w:rsidP="00101324">
      <w:pPr>
        <w:pStyle w:val="FootnoteText"/>
        <w:jc w:val="both"/>
        <w:rPr>
          <w:rFonts w:ascii="GHEA Grapalat" w:hAnsi="GHEA Grapalat"/>
          <w:lang w:val="hy-AM"/>
        </w:rPr>
      </w:pPr>
      <w:r w:rsidRPr="00EF4168">
        <w:rPr>
          <w:rStyle w:val="FootnoteReference"/>
          <w:rFonts w:ascii="GHEA Grapalat" w:hAnsi="GHEA Grapalat"/>
        </w:rPr>
        <w:footnoteRef/>
      </w:r>
      <w:r w:rsidRPr="00EF4168">
        <w:rPr>
          <w:rFonts w:ascii="GHEA Grapalat" w:hAnsi="GHEA Grapalat"/>
          <w:lang w:val="hy-AM"/>
        </w:rPr>
        <w:t xml:space="preserve"> «</w:t>
      </w:r>
      <w:r w:rsidRPr="00EF4168">
        <w:rPr>
          <w:rFonts w:ascii="GHEA Grapalat" w:hAnsi="GHEA Grapalat" w:cs="Sylfaen"/>
          <w:lang w:val="hy-AM"/>
        </w:rPr>
        <w:t>ՀՀ</w:t>
      </w:r>
      <w:r w:rsidRPr="00EF4168">
        <w:rPr>
          <w:rFonts w:ascii="GHEA Grapalat" w:hAnsi="GHEA Grapalat"/>
          <w:lang w:val="hy-AM"/>
        </w:rPr>
        <w:t xml:space="preserve"> </w:t>
      </w:r>
      <w:r w:rsidRPr="00EF4168">
        <w:rPr>
          <w:rFonts w:ascii="GHEA Grapalat" w:hAnsi="GHEA Grapalat" w:cs="Sylfaen"/>
          <w:lang w:val="hy-AM"/>
        </w:rPr>
        <w:t>Սահմանադրության</w:t>
      </w:r>
      <w:r w:rsidRPr="00EF4168">
        <w:rPr>
          <w:rFonts w:ascii="GHEA Grapalat" w:hAnsi="GHEA Grapalat"/>
          <w:lang w:val="hy-AM"/>
        </w:rPr>
        <w:t xml:space="preserve"> </w:t>
      </w:r>
      <w:r w:rsidRPr="00EF4168">
        <w:rPr>
          <w:rFonts w:ascii="GHEA Grapalat" w:hAnsi="GHEA Grapalat" w:cs="Sylfaen"/>
          <w:lang w:val="hy-AM"/>
        </w:rPr>
        <w:t>մեկնաբանություններ</w:t>
      </w:r>
      <w:r w:rsidRPr="00EF4168">
        <w:rPr>
          <w:rFonts w:ascii="GHEA Grapalat" w:hAnsi="GHEA Grapalat"/>
          <w:lang w:val="hy-AM"/>
        </w:rPr>
        <w:t xml:space="preserve">» </w:t>
      </w:r>
      <w:proofErr w:type="spellStart"/>
      <w:r w:rsidRPr="00EF4168">
        <w:rPr>
          <w:rFonts w:ascii="GHEA Grapalat" w:hAnsi="GHEA Grapalat" w:cs="Sylfaen"/>
          <w:lang w:val="hy-AM"/>
        </w:rPr>
        <w:t>գիտագործնական</w:t>
      </w:r>
      <w:proofErr w:type="spellEnd"/>
      <w:r w:rsidRPr="00EF4168">
        <w:rPr>
          <w:rFonts w:ascii="GHEA Grapalat" w:hAnsi="GHEA Grapalat"/>
          <w:lang w:val="hy-AM"/>
        </w:rPr>
        <w:t xml:space="preserve"> </w:t>
      </w:r>
      <w:r w:rsidRPr="00EF4168">
        <w:rPr>
          <w:rFonts w:ascii="GHEA Grapalat" w:hAnsi="GHEA Grapalat" w:cs="Sylfaen"/>
          <w:lang w:val="hy-AM"/>
        </w:rPr>
        <w:t>ժողովածու</w:t>
      </w:r>
      <w:r w:rsidRPr="00EF4168">
        <w:rPr>
          <w:rFonts w:ascii="GHEA Grapalat" w:hAnsi="GHEA Grapalat"/>
          <w:lang w:val="hy-AM"/>
        </w:rPr>
        <w:t xml:space="preserve"> (</w:t>
      </w:r>
      <w:r w:rsidRPr="00EF4168">
        <w:rPr>
          <w:rFonts w:ascii="GHEA Grapalat" w:hAnsi="GHEA Grapalat" w:cs="Sylfaen"/>
          <w:lang w:val="hy-AM"/>
        </w:rPr>
        <w:t>ընդհանուր</w:t>
      </w:r>
      <w:r w:rsidRPr="00EF4168">
        <w:rPr>
          <w:rFonts w:ascii="GHEA Grapalat" w:hAnsi="GHEA Grapalat"/>
          <w:lang w:val="hy-AM"/>
        </w:rPr>
        <w:t xml:space="preserve"> </w:t>
      </w:r>
      <w:r w:rsidRPr="00EF4168">
        <w:rPr>
          <w:rFonts w:ascii="GHEA Grapalat" w:hAnsi="GHEA Grapalat" w:cs="Sylfaen"/>
          <w:lang w:val="hy-AM"/>
        </w:rPr>
        <w:t>խմբագրությամբ</w:t>
      </w:r>
      <w:r w:rsidRPr="00EF4168">
        <w:rPr>
          <w:rFonts w:ascii="GHEA Grapalat" w:hAnsi="GHEA Grapalat"/>
          <w:lang w:val="hy-AM"/>
        </w:rPr>
        <w:t xml:space="preserve">` </w:t>
      </w:r>
      <w:r w:rsidRPr="00EF4168">
        <w:rPr>
          <w:rFonts w:ascii="GHEA Grapalat" w:hAnsi="GHEA Grapalat" w:cs="Sylfaen"/>
          <w:lang w:val="hy-AM"/>
        </w:rPr>
        <w:t>Գ</w:t>
      </w:r>
      <w:r w:rsidRPr="00EF4168">
        <w:rPr>
          <w:rFonts w:ascii="GHEA Grapalat" w:hAnsi="GHEA Grapalat"/>
          <w:lang w:val="hy-AM"/>
        </w:rPr>
        <w:t xml:space="preserve">. </w:t>
      </w:r>
      <w:r w:rsidRPr="00EF4168">
        <w:rPr>
          <w:rFonts w:ascii="GHEA Grapalat" w:hAnsi="GHEA Grapalat" w:cs="Sylfaen"/>
          <w:lang w:val="hy-AM"/>
        </w:rPr>
        <w:t>Հարությունյանի</w:t>
      </w:r>
      <w:r w:rsidRPr="00EF4168">
        <w:rPr>
          <w:rFonts w:ascii="GHEA Grapalat" w:hAnsi="GHEA Grapalat"/>
          <w:lang w:val="hy-AM"/>
        </w:rPr>
        <w:t xml:space="preserve">, </w:t>
      </w:r>
      <w:r w:rsidRPr="00EF4168">
        <w:rPr>
          <w:rFonts w:ascii="GHEA Grapalat" w:hAnsi="GHEA Grapalat" w:cs="Sylfaen"/>
          <w:lang w:val="hy-AM"/>
        </w:rPr>
        <w:t>Ա</w:t>
      </w:r>
      <w:r w:rsidRPr="00EF4168">
        <w:rPr>
          <w:rFonts w:ascii="GHEA Grapalat" w:hAnsi="GHEA Grapalat"/>
          <w:lang w:val="hy-AM"/>
        </w:rPr>
        <w:t xml:space="preserve">. </w:t>
      </w:r>
      <w:proofErr w:type="spellStart"/>
      <w:r w:rsidRPr="00EF4168">
        <w:rPr>
          <w:rFonts w:ascii="GHEA Grapalat" w:hAnsi="GHEA Grapalat" w:cs="Sylfaen"/>
          <w:lang w:val="hy-AM"/>
        </w:rPr>
        <w:t>Վաղարշյանի</w:t>
      </w:r>
      <w:proofErr w:type="spellEnd"/>
      <w:r w:rsidRPr="00EF4168">
        <w:rPr>
          <w:rFonts w:ascii="GHEA Grapalat" w:hAnsi="GHEA Grapalat"/>
          <w:lang w:val="hy-AM"/>
        </w:rPr>
        <w:t xml:space="preserve">), </w:t>
      </w:r>
      <w:proofErr w:type="spellStart"/>
      <w:r w:rsidRPr="00EF4168">
        <w:rPr>
          <w:rFonts w:ascii="GHEA Grapalat" w:hAnsi="GHEA Grapalat" w:cs="Sylfaen"/>
          <w:lang w:val="hy-AM"/>
        </w:rPr>
        <w:t>Երևան</w:t>
      </w:r>
      <w:proofErr w:type="spellEnd"/>
      <w:r w:rsidRPr="00EF4168">
        <w:rPr>
          <w:rFonts w:ascii="GHEA Grapalat" w:hAnsi="GHEA Grapalat"/>
          <w:lang w:val="hy-AM"/>
        </w:rPr>
        <w:t>, «</w:t>
      </w:r>
      <w:r w:rsidRPr="00EF4168">
        <w:rPr>
          <w:rFonts w:ascii="GHEA Grapalat" w:hAnsi="GHEA Grapalat" w:cs="Sylfaen"/>
          <w:lang w:val="hy-AM"/>
        </w:rPr>
        <w:t>Իրավունք</w:t>
      </w:r>
      <w:r w:rsidRPr="00EF4168">
        <w:rPr>
          <w:rFonts w:ascii="GHEA Grapalat" w:hAnsi="GHEA Grapalat"/>
          <w:lang w:val="hy-AM"/>
        </w:rPr>
        <w:t xml:space="preserve">», 2010 </w:t>
      </w:r>
      <w:r w:rsidRPr="00EF4168">
        <w:rPr>
          <w:rFonts w:ascii="GHEA Grapalat" w:hAnsi="GHEA Grapalat" w:cs="Sylfaen"/>
          <w:lang w:val="hy-AM"/>
        </w:rPr>
        <w:t>թվական</w:t>
      </w:r>
      <w:r w:rsidRPr="00EF4168">
        <w:rPr>
          <w:rFonts w:ascii="GHEA Grapalat" w:hAnsi="GHEA Grapalat"/>
          <w:lang w:val="hy-AM"/>
        </w:rPr>
        <w:t xml:space="preserve">, </w:t>
      </w:r>
      <w:r w:rsidRPr="00EF4168">
        <w:rPr>
          <w:rFonts w:ascii="GHEA Grapalat" w:hAnsi="GHEA Grapalat" w:cs="Sylfaen"/>
          <w:lang w:val="hy-AM"/>
        </w:rPr>
        <w:t>Էջ</w:t>
      </w:r>
      <w:r w:rsidRPr="00EF4168">
        <w:rPr>
          <w:rFonts w:ascii="GHEA Grapalat" w:hAnsi="GHEA Grapalat"/>
          <w:lang w:val="hy-AM"/>
        </w:rPr>
        <w:t xml:space="preserve"> 256</w:t>
      </w:r>
    </w:p>
  </w:footnote>
  <w:footnote w:id="2">
    <w:p w:rsidR="00275F60" w:rsidRPr="00CD0CB7" w:rsidRDefault="00275F60" w:rsidP="00CD5F98">
      <w:pPr>
        <w:pStyle w:val="FootnoteText"/>
        <w:jc w:val="both"/>
        <w:rPr>
          <w:rFonts w:ascii="GHEA Grapalat" w:hAnsi="GHEA Grapalat"/>
          <w:lang w:val="hy-AM"/>
        </w:rPr>
      </w:pPr>
      <w:r w:rsidRPr="00CD0CB7">
        <w:rPr>
          <w:rStyle w:val="FootnoteReference"/>
          <w:rFonts w:ascii="GHEA Grapalat" w:hAnsi="GHEA Grapalat"/>
          <w:lang w:val="hy-AM"/>
        </w:rPr>
        <w:footnoteRef/>
      </w:r>
      <w:r w:rsidRPr="00CD0CB7">
        <w:rPr>
          <w:rFonts w:ascii="GHEA Grapalat" w:hAnsi="GHEA Grapalat"/>
          <w:lang w:val="hy-AM"/>
        </w:rPr>
        <w:t xml:space="preserve"> </w:t>
      </w:r>
      <w:proofErr w:type="spellStart"/>
      <w:r w:rsidRPr="00CD0CB7">
        <w:rPr>
          <w:rFonts w:ascii="GHEA Grapalat" w:hAnsi="GHEA Grapalat"/>
          <w:lang w:val="hy-AM"/>
        </w:rPr>
        <w:t>Տե՛ս</w:t>
      </w:r>
      <w:proofErr w:type="spellEnd"/>
      <w:r w:rsidRPr="00CD0CB7">
        <w:rPr>
          <w:rFonts w:ascii="GHEA Grapalat" w:hAnsi="GHEA Grapalat"/>
          <w:lang w:val="hy-AM"/>
        </w:rPr>
        <w:t xml:space="preserve"> </w:t>
      </w:r>
      <w:proofErr w:type="spellStart"/>
      <w:r w:rsidRPr="00CD0CB7">
        <w:rPr>
          <w:rFonts w:ascii="GHEA Grapalat" w:hAnsi="GHEA Grapalat"/>
          <w:lang w:val="hy-AM"/>
        </w:rPr>
        <w:t>Նոլկենբոխովն</w:t>
      </w:r>
      <w:proofErr w:type="spellEnd"/>
      <w:r w:rsidRPr="00CD0CB7">
        <w:rPr>
          <w:rFonts w:ascii="GHEA Grapalat" w:hAnsi="GHEA Grapalat"/>
          <w:lang w:val="hy-AM"/>
        </w:rPr>
        <w:t xml:space="preserve"> ընդդեմ Գերմանիայի (</w:t>
      </w:r>
      <w:proofErr w:type="spellStart"/>
      <w:r w:rsidRPr="00CD0CB7">
        <w:rPr>
          <w:rFonts w:ascii="GHEA Grapalat" w:hAnsi="GHEA Grapalat"/>
          <w:lang w:val="hy-AM"/>
        </w:rPr>
        <w:t>Nölkenbockhoff</w:t>
      </w:r>
      <w:proofErr w:type="spellEnd"/>
      <w:r w:rsidRPr="00CD0CB7">
        <w:rPr>
          <w:rFonts w:ascii="GHEA Grapalat" w:hAnsi="GHEA Grapalat"/>
          <w:lang w:val="hy-AM"/>
        </w:rPr>
        <w:t xml:space="preserve"> v. </w:t>
      </w:r>
      <w:proofErr w:type="spellStart"/>
      <w:r w:rsidRPr="00CD0CB7">
        <w:rPr>
          <w:rFonts w:ascii="GHEA Grapalat" w:hAnsi="GHEA Grapalat"/>
          <w:lang w:val="hy-AM"/>
        </w:rPr>
        <w:t>Germany</w:t>
      </w:r>
      <w:proofErr w:type="spellEnd"/>
      <w:r w:rsidRPr="00CD0CB7">
        <w:rPr>
          <w:rFonts w:ascii="GHEA Grapalat" w:hAnsi="GHEA Grapalat"/>
          <w:lang w:val="hy-AM"/>
        </w:rPr>
        <w:t>) գործով 1987 թվականի օգոստոսի 25-ի գործով վճիռ, գանգատ թիվ 10300/83, կետ 33</w:t>
      </w:r>
    </w:p>
  </w:footnote>
  <w:footnote w:id="3">
    <w:p w:rsidR="00275F60" w:rsidRPr="00CD5F98" w:rsidRDefault="00275F60" w:rsidP="00D249CB">
      <w:pPr>
        <w:pStyle w:val="FootnoteText"/>
        <w:jc w:val="both"/>
        <w:rPr>
          <w:rFonts w:ascii="GHEA Grapalat" w:hAnsi="GHEA Grapalat"/>
          <w:lang w:val="hy-AM"/>
        </w:rPr>
      </w:pPr>
      <w:r w:rsidRPr="00CD5F98">
        <w:rPr>
          <w:rStyle w:val="FootnoteReference"/>
          <w:rFonts w:ascii="GHEA Grapalat" w:hAnsi="GHEA Grapalat"/>
        </w:rPr>
        <w:footnoteRef/>
      </w:r>
      <w:r w:rsidRPr="00CD5F98">
        <w:rPr>
          <w:rFonts w:ascii="GHEA Grapalat" w:hAnsi="GHEA Grapalat"/>
          <w:lang w:val="hy-AM"/>
        </w:rPr>
        <w:t xml:space="preserve"> </w:t>
      </w:r>
      <w:hyperlink r:id="rId1" w:history="1">
        <w:r w:rsidRPr="00CD5F98">
          <w:rPr>
            <w:rStyle w:val="Hyperlink"/>
            <w:rFonts w:ascii="GHEA Grapalat" w:hAnsi="GHEA Grapalat"/>
            <w:lang w:val="hy-AM"/>
          </w:rPr>
          <w:t>https://law.utexas.edu/transnational/foreign-law-translations/german/case.php?id=1478</w:t>
        </w:r>
      </w:hyperlink>
      <w:r w:rsidRPr="00CD5F98">
        <w:rPr>
          <w:rFonts w:ascii="GHEA Grapalat" w:hAnsi="GHEA Grapalat"/>
          <w:lang w:val="hy-AM"/>
        </w:rPr>
        <w:t xml:space="preserve"> </w:t>
      </w:r>
    </w:p>
  </w:footnote>
  <w:footnote w:id="4">
    <w:p w:rsidR="00275F60" w:rsidRPr="007A04E2" w:rsidRDefault="00275F60" w:rsidP="00F3008A">
      <w:pPr>
        <w:pStyle w:val="FootnoteText"/>
        <w:jc w:val="both"/>
        <w:rPr>
          <w:rFonts w:ascii="GHEA Grapalat" w:hAnsi="GHEA Grapalat" w:cs="Courier New"/>
          <w:lang w:val="hy-AM"/>
        </w:rPr>
      </w:pPr>
      <w:r w:rsidRPr="007A04E2">
        <w:rPr>
          <w:rStyle w:val="FootnoteReference"/>
          <w:rFonts w:ascii="GHEA Grapalat" w:hAnsi="GHEA Grapalat"/>
        </w:rPr>
        <w:footnoteRef/>
      </w:r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lang w:val="hy-AM"/>
        </w:rPr>
        <w:t>Տե՛ս</w:t>
      </w:r>
      <w:proofErr w:type="spellEnd"/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 w:cs="Sylfaen"/>
          <w:iCs/>
          <w:lang w:val="hy-AM"/>
        </w:rPr>
        <w:t>Ամուրն</w:t>
      </w:r>
      <w:proofErr w:type="spellEnd"/>
      <w:r w:rsidRPr="007A04E2">
        <w:rPr>
          <w:rFonts w:ascii="GHEA Grapalat" w:hAnsi="GHEA Grapalat"/>
          <w:iCs/>
          <w:lang w:val="hy-AM"/>
        </w:rPr>
        <w:t xml:space="preserve"> </w:t>
      </w:r>
      <w:r w:rsidRPr="007A04E2">
        <w:rPr>
          <w:rFonts w:ascii="GHEA Grapalat" w:hAnsi="GHEA Grapalat" w:cs="Sylfaen"/>
          <w:iCs/>
          <w:lang w:val="hy-AM"/>
        </w:rPr>
        <w:t>ընդդեմ</w:t>
      </w:r>
      <w:r w:rsidRPr="007A04E2">
        <w:rPr>
          <w:rFonts w:ascii="GHEA Grapalat" w:hAnsi="GHEA Grapalat"/>
          <w:iCs/>
          <w:lang w:val="hy-AM"/>
        </w:rPr>
        <w:t xml:space="preserve"> </w:t>
      </w:r>
      <w:r w:rsidRPr="007A04E2">
        <w:rPr>
          <w:rFonts w:ascii="GHEA Grapalat" w:hAnsi="GHEA Grapalat" w:cs="Sylfaen"/>
          <w:iCs/>
          <w:lang w:val="hy-AM"/>
        </w:rPr>
        <w:t>Ֆրանսիայի</w:t>
      </w:r>
      <w:r w:rsidRPr="007A04E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(</w:t>
      </w:r>
      <w:proofErr w:type="spellStart"/>
      <w:r>
        <w:rPr>
          <w:rFonts w:ascii="GHEA Grapalat" w:hAnsi="GHEA Grapalat"/>
          <w:lang w:val="hy-AM"/>
        </w:rPr>
        <w:t>Am</w:t>
      </w:r>
      <w:r w:rsidRPr="007A04E2">
        <w:rPr>
          <w:rFonts w:ascii="GHEA Grapalat" w:hAnsi="GHEA Grapalat"/>
          <w:lang w:val="hy-AM"/>
        </w:rPr>
        <w:t>uur</w:t>
      </w:r>
      <w:proofErr w:type="spellEnd"/>
      <w:r w:rsidRPr="007A04E2">
        <w:rPr>
          <w:rFonts w:ascii="GHEA Grapalat" w:hAnsi="GHEA Grapalat"/>
          <w:lang w:val="hy-AM"/>
        </w:rPr>
        <w:t xml:space="preserve"> v. </w:t>
      </w:r>
      <w:proofErr w:type="spellStart"/>
      <w:r w:rsidRPr="007A04E2">
        <w:rPr>
          <w:rFonts w:ascii="GHEA Grapalat" w:hAnsi="GHEA Grapalat"/>
          <w:lang w:val="hy-AM"/>
        </w:rPr>
        <w:t>France</w:t>
      </w:r>
      <w:proofErr w:type="spellEnd"/>
      <w:r w:rsidRPr="007A04E2">
        <w:rPr>
          <w:rFonts w:ascii="GHEA Grapalat" w:hAnsi="GHEA Grapalat"/>
          <w:lang w:val="hy-AM"/>
        </w:rPr>
        <w:t xml:space="preserve">) 1996 </w:t>
      </w:r>
      <w:r w:rsidRPr="007A04E2">
        <w:rPr>
          <w:rFonts w:ascii="GHEA Grapalat" w:hAnsi="GHEA Grapalat" w:cs="Sylfaen"/>
          <w:lang w:val="hy-AM"/>
        </w:rPr>
        <w:t>թ</w:t>
      </w:r>
      <w:r w:rsidRPr="007A04E2">
        <w:rPr>
          <w:rFonts w:ascii="GHEA Grapalat" w:hAnsi="GHEA Grapalat"/>
          <w:lang w:val="hy-AM"/>
        </w:rPr>
        <w:t xml:space="preserve">վական </w:t>
      </w:r>
      <w:r w:rsidRPr="007A04E2">
        <w:rPr>
          <w:rFonts w:ascii="GHEA Grapalat" w:hAnsi="GHEA Grapalat" w:cs="Sylfaen"/>
          <w:lang w:val="hy-AM"/>
        </w:rPr>
        <w:t>հունիսի 25-ի գործով վճիռ</w:t>
      </w:r>
      <w:r w:rsidRPr="007A04E2">
        <w:rPr>
          <w:rFonts w:ascii="GHEA Grapalat" w:hAnsi="GHEA Grapalat"/>
          <w:lang w:val="hy-AM"/>
        </w:rPr>
        <w:t xml:space="preserve">, </w:t>
      </w:r>
      <w:r w:rsidRPr="007A04E2">
        <w:rPr>
          <w:rFonts w:ascii="GHEA Grapalat" w:hAnsi="GHEA Grapalat" w:cs="Sylfaen"/>
          <w:iCs/>
          <w:lang w:val="hy-AM"/>
        </w:rPr>
        <w:t>Զեկույցներ</w:t>
      </w:r>
      <w:r w:rsidRPr="007A04E2">
        <w:rPr>
          <w:rFonts w:ascii="GHEA Grapalat" w:hAnsi="GHEA Grapalat" w:cs="Courier New"/>
          <w:iCs/>
          <w:lang w:val="hy-AM"/>
        </w:rPr>
        <w:t xml:space="preserve"> 1</w:t>
      </w:r>
      <w:r w:rsidRPr="007A04E2">
        <w:rPr>
          <w:rFonts w:ascii="GHEA Grapalat" w:hAnsi="GHEA Grapalat"/>
          <w:lang w:val="hy-AM"/>
        </w:rPr>
        <w:t>996</w:t>
      </w:r>
      <w:r w:rsidRPr="007A04E2">
        <w:rPr>
          <w:rFonts w:ascii="GHEA Grapalat" w:hAnsi="GHEA Grapalat"/>
          <w:lang w:val="hy-AM"/>
        </w:rPr>
        <w:noBreakHyphen/>
        <w:t>III, § 50,</w:t>
      </w:r>
      <w:r w:rsidRPr="007A04E2">
        <w:rPr>
          <w:rFonts w:ascii="GHEA Grapalat" w:hAnsi="GHEA Grapalat" w:cs="Courier New"/>
          <w:lang w:val="hy-AM"/>
        </w:rPr>
        <w:t xml:space="preserve"> </w:t>
      </w:r>
      <w:proofErr w:type="spellStart"/>
      <w:r w:rsidRPr="007A04E2">
        <w:rPr>
          <w:rFonts w:ascii="GHEA Grapalat" w:hAnsi="GHEA Grapalat" w:cs="Sylfaen"/>
          <w:iCs/>
          <w:lang w:val="hy-AM"/>
        </w:rPr>
        <w:t>Նասրուլոևն</w:t>
      </w:r>
      <w:proofErr w:type="spellEnd"/>
      <w:r w:rsidRPr="007A04E2">
        <w:rPr>
          <w:rFonts w:ascii="GHEA Grapalat" w:hAnsi="GHEA Grapalat"/>
          <w:iCs/>
          <w:lang w:val="hy-AM"/>
        </w:rPr>
        <w:t xml:space="preserve"> </w:t>
      </w:r>
      <w:r w:rsidRPr="007A04E2">
        <w:rPr>
          <w:rFonts w:ascii="GHEA Grapalat" w:hAnsi="GHEA Grapalat" w:cs="Sylfaen"/>
          <w:iCs/>
          <w:lang w:val="hy-AM"/>
        </w:rPr>
        <w:t>ընդդեմ</w:t>
      </w:r>
      <w:r w:rsidRPr="007A04E2">
        <w:rPr>
          <w:rFonts w:ascii="GHEA Grapalat" w:hAnsi="GHEA Grapalat"/>
          <w:iCs/>
          <w:lang w:val="hy-AM"/>
        </w:rPr>
        <w:t xml:space="preserve"> </w:t>
      </w:r>
      <w:r w:rsidRPr="007A04E2">
        <w:rPr>
          <w:rFonts w:ascii="GHEA Grapalat" w:hAnsi="GHEA Grapalat" w:cs="Sylfaen"/>
          <w:iCs/>
          <w:lang w:val="hy-AM"/>
        </w:rPr>
        <w:t>Ռուսաստանի</w:t>
      </w:r>
      <w:r w:rsidRPr="007A04E2">
        <w:rPr>
          <w:rFonts w:ascii="GHEA Grapalat" w:hAnsi="GHEA Grapalat"/>
          <w:lang w:val="hy-AM"/>
        </w:rPr>
        <w:t xml:space="preserve"> (</w:t>
      </w:r>
      <w:proofErr w:type="spellStart"/>
      <w:r w:rsidRPr="007A04E2">
        <w:rPr>
          <w:rStyle w:val="s6b621b36"/>
          <w:rFonts w:ascii="GHEA Grapalat" w:hAnsi="GHEA Grapalat" w:cs="Arial"/>
          <w:iCs/>
          <w:color w:val="000000"/>
          <w:shd w:val="clear" w:color="auto" w:fill="FFFFFF"/>
          <w:lang w:val="hy-AM"/>
        </w:rPr>
        <w:t>Nasrulloyev</w:t>
      </w:r>
      <w:bookmarkStart w:id="0" w:name="HIT30"/>
      <w:bookmarkEnd w:id="0"/>
      <w:proofErr w:type="spellEnd"/>
      <w:r w:rsidRPr="007A04E2">
        <w:rPr>
          <w:rStyle w:val="apple-converted-space"/>
          <w:rFonts w:ascii="GHEA Grapalat" w:hAnsi="GHEA Grapalat" w:cs="Arial"/>
          <w:iCs/>
          <w:color w:val="000000"/>
          <w:shd w:val="clear" w:color="auto" w:fill="FFFFFF"/>
          <w:lang w:val="hy-AM"/>
        </w:rPr>
        <w:t xml:space="preserve"> v.</w:t>
      </w:r>
      <w:r w:rsidRPr="007A04E2">
        <w:rPr>
          <w:rStyle w:val="s6b621b36"/>
          <w:rFonts w:ascii="GHEA Grapalat" w:hAnsi="GHEA Grapalat" w:cs="Arial"/>
          <w:iCs/>
          <w:color w:val="000000"/>
          <w:shd w:val="clear" w:color="auto" w:fill="FFFFFF"/>
          <w:lang w:val="hy-AM"/>
        </w:rPr>
        <w:t xml:space="preserve"> </w:t>
      </w:r>
      <w:proofErr w:type="spellStart"/>
      <w:r w:rsidRPr="007A04E2">
        <w:rPr>
          <w:rStyle w:val="s6b621b36"/>
          <w:rFonts w:ascii="GHEA Grapalat" w:hAnsi="GHEA Grapalat" w:cs="Arial"/>
          <w:iCs/>
          <w:color w:val="000000"/>
          <w:shd w:val="clear" w:color="auto" w:fill="FFFFFF"/>
          <w:lang w:val="hy-AM"/>
        </w:rPr>
        <w:t>Russia</w:t>
      </w:r>
      <w:proofErr w:type="spellEnd"/>
      <w:r w:rsidRPr="007A04E2">
        <w:rPr>
          <w:rFonts w:ascii="GHEA Grapalat" w:hAnsi="GHEA Grapalat"/>
          <w:lang w:val="hy-AM"/>
        </w:rPr>
        <w:t xml:space="preserve">) 2007 թվականի հոկտեմբերի 11-ի գործով վճիռ, գանգատ թիվ 656/06, § 71, </w:t>
      </w:r>
      <w:proofErr w:type="spellStart"/>
      <w:r w:rsidRPr="007A04E2">
        <w:rPr>
          <w:rFonts w:ascii="GHEA Grapalat" w:hAnsi="GHEA Grapalat" w:cs="Sylfaen"/>
          <w:iCs/>
          <w:lang w:val="hy-AM"/>
        </w:rPr>
        <w:t>Մուրենն</w:t>
      </w:r>
      <w:proofErr w:type="spellEnd"/>
      <w:r w:rsidRPr="007A04E2">
        <w:rPr>
          <w:rFonts w:ascii="GHEA Grapalat" w:hAnsi="GHEA Grapalat"/>
          <w:iCs/>
          <w:lang w:val="hy-AM"/>
        </w:rPr>
        <w:t xml:space="preserve"> </w:t>
      </w:r>
      <w:r w:rsidRPr="007A04E2">
        <w:rPr>
          <w:rFonts w:ascii="GHEA Grapalat" w:hAnsi="GHEA Grapalat" w:cs="Sylfaen"/>
          <w:iCs/>
          <w:lang w:val="hy-AM"/>
        </w:rPr>
        <w:t>ընդդեմ</w:t>
      </w:r>
      <w:r w:rsidRPr="007A04E2">
        <w:rPr>
          <w:rFonts w:ascii="GHEA Grapalat" w:hAnsi="GHEA Grapalat"/>
          <w:iCs/>
          <w:lang w:val="hy-AM"/>
        </w:rPr>
        <w:t xml:space="preserve"> </w:t>
      </w:r>
      <w:r w:rsidRPr="007A04E2">
        <w:rPr>
          <w:rFonts w:ascii="GHEA Grapalat" w:hAnsi="GHEA Grapalat" w:cs="Sylfaen"/>
          <w:iCs/>
          <w:lang w:val="hy-AM"/>
        </w:rPr>
        <w:t>Գերմանիայի</w:t>
      </w:r>
      <w:r w:rsidRPr="007A04E2">
        <w:rPr>
          <w:rFonts w:ascii="GHEA Grapalat" w:hAnsi="GHEA Grapalat"/>
          <w:lang w:val="hy-AM"/>
        </w:rPr>
        <w:t xml:space="preserve"> (</w:t>
      </w:r>
      <w:proofErr w:type="spellStart"/>
      <w:r w:rsidRPr="007A04E2">
        <w:rPr>
          <w:rFonts w:ascii="GHEA Grapalat" w:hAnsi="GHEA Grapalat"/>
          <w:lang w:val="hy-AM"/>
        </w:rPr>
        <w:t>Mooren</w:t>
      </w:r>
      <w:proofErr w:type="spellEnd"/>
      <w:r w:rsidRPr="007A04E2">
        <w:rPr>
          <w:rFonts w:ascii="GHEA Grapalat" w:hAnsi="GHEA Grapalat"/>
          <w:lang w:val="hy-AM"/>
        </w:rPr>
        <w:t xml:space="preserve"> v. </w:t>
      </w:r>
      <w:proofErr w:type="spellStart"/>
      <w:r w:rsidRPr="007A04E2">
        <w:rPr>
          <w:rFonts w:ascii="GHEA Grapalat" w:hAnsi="GHEA Grapalat"/>
          <w:lang w:val="hy-AM"/>
        </w:rPr>
        <w:t>Germany</w:t>
      </w:r>
      <w:proofErr w:type="spellEnd"/>
      <w:r w:rsidRPr="007A04E2">
        <w:rPr>
          <w:rFonts w:ascii="GHEA Grapalat" w:hAnsi="GHEA Grapalat"/>
          <w:lang w:val="hy-AM"/>
        </w:rPr>
        <w:t>)</w:t>
      </w:r>
      <w:r w:rsidRPr="007A04E2">
        <w:rPr>
          <w:rFonts w:ascii="GHEA Grapalat" w:hAnsi="GHEA Grapalat" w:cs="Sylfaen"/>
          <w:iCs/>
          <w:lang w:val="hy-AM"/>
        </w:rPr>
        <w:t xml:space="preserve"> 2009 թվականի հուլիսի 9-ի գործով վճիռ, գանգատ թիվ</w:t>
      </w:r>
      <w:r w:rsidRPr="007A04E2">
        <w:rPr>
          <w:rFonts w:ascii="GHEA Grapalat" w:hAnsi="GHEA Grapalat"/>
          <w:lang w:val="hy-AM"/>
        </w:rPr>
        <w:t xml:space="preserve"> 11364/03, § 76</w:t>
      </w:r>
    </w:p>
  </w:footnote>
  <w:footnote w:id="5">
    <w:p w:rsidR="00275F60" w:rsidRPr="007A04E2" w:rsidRDefault="00275F60" w:rsidP="00A97C9B">
      <w:pPr>
        <w:pStyle w:val="FootnoteText"/>
        <w:jc w:val="both"/>
        <w:rPr>
          <w:rFonts w:ascii="GHEA Grapalat" w:hAnsi="GHEA Grapalat"/>
          <w:lang w:val="af-ZA"/>
        </w:rPr>
      </w:pPr>
      <w:r w:rsidRPr="007A04E2">
        <w:rPr>
          <w:rStyle w:val="FootnoteReference"/>
          <w:rFonts w:ascii="GHEA Grapalat" w:hAnsi="GHEA Grapalat"/>
        </w:rPr>
        <w:footnoteRef/>
      </w:r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lang w:val="hy-AM"/>
        </w:rPr>
        <w:t>Տե՛ս</w:t>
      </w:r>
      <w:proofErr w:type="spellEnd"/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iCs/>
          <w:lang w:val="hy-AM"/>
        </w:rPr>
        <w:t>Ստիլը</w:t>
      </w:r>
      <w:proofErr w:type="spellEnd"/>
      <w:r w:rsidRPr="007A04E2">
        <w:rPr>
          <w:rFonts w:ascii="GHEA Grapalat" w:hAnsi="GHEA Grapalat"/>
          <w:iCs/>
          <w:lang w:val="hy-AM"/>
        </w:rPr>
        <w:t xml:space="preserve"> և ուրիշներն ընդդեմ Միացյալ Թագավորության</w:t>
      </w:r>
      <w:r w:rsidRPr="007A04E2">
        <w:rPr>
          <w:rFonts w:ascii="GHEA Grapalat" w:hAnsi="GHEA Grapalat"/>
          <w:lang w:val="hy-AM"/>
        </w:rPr>
        <w:t xml:space="preserve"> (</w:t>
      </w:r>
      <w:proofErr w:type="spellStart"/>
      <w:r w:rsidRPr="007A04E2">
        <w:rPr>
          <w:rFonts w:ascii="GHEA Grapalat" w:hAnsi="GHEA Grapalat"/>
          <w:lang w:val="hy-AM"/>
        </w:rPr>
        <w:t>Steel</w:t>
      </w:r>
      <w:proofErr w:type="spellEnd"/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lang w:val="hy-AM"/>
        </w:rPr>
        <w:t>and</w:t>
      </w:r>
      <w:proofErr w:type="spellEnd"/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lang w:val="hy-AM"/>
        </w:rPr>
        <w:t>Others</w:t>
      </w:r>
      <w:proofErr w:type="spellEnd"/>
      <w:r w:rsidRPr="007A04E2">
        <w:rPr>
          <w:rFonts w:ascii="GHEA Grapalat" w:hAnsi="GHEA Grapalat"/>
          <w:lang w:val="hy-AM"/>
        </w:rPr>
        <w:t xml:space="preserve"> v. </w:t>
      </w:r>
      <w:proofErr w:type="spellStart"/>
      <w:r w:rsidRPr="007A04E2">
        <w:rPr>
          <w:rFonts w:ascii="GHEA Grapalat" w:hAnsi="GHEA Grapalat"/>
          <w:lang w:val="hy-AM"/>
        </w:rPr>
        <w:t>United</w:t>
      </w:r>
      <w:proofErr w:type="spellEnd"/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lang w:val="hy-AM"/>
        </w:rPr>
        <w:t>Kingdom</w:t>
      </w:r>
      <w:proofErr w:type="spellEnd"/>
      <w:r w:rsidRPr="007A04E2">
        <w:rPr>
          <w:rFonts w:ascii="GHEA Grapalat" w:hAnsi="GHEA Grapalat"/>
          <w:lang w:val="hy-AM"/>
        </w:rPr>
        <w:t xml:space="preserve">) 1998 թվականի սեպտեմբերի 23-ի գործով վճիռ, </w:t>
      </w:r>
      <w:r w:rsidRPr="007A04E2">
        <w:rPr>
          <w:rFonts w:ascii="GHEA Grapalat" w:hAnsi="GHEA Grapalat"/>
          <w:iCs/>
          <w:lang w:val="hy-AM"/>
        </w:rPr>
        <w:t xml:space="preserve">Զեկույցներ </w:t>
      </w:r>
      <w:r w:rsidRPr="007A04E2">
        <w:rPr>
          <w:rFonts w:ascii="GHEA Grapalat" w:hAnsi="GHEA Grapalat"/>
          <w:lang w:val="hy-AM"/>
        </w:rPr>
        <w:t>1998</w:t>
      </w:r>
      <w:r w:rsidRPr="007A04E2">
        <w:rPr>
          <w:rFonts w:ascii="GHEA Grapalat" w:hAnsi="GHEA Grapalat"/>
          <w:lang w:val="hy-AM"/>
        </w:rPr>
        <w:noBreakHyphen/>
        <w:t xml:space="preserve">VII, § 54, </w:t>
      </w:r>
      <w:proofErr w:type="spellStart"/>
      <w:r w:rsidRPr="007A04E2">
        <w:rPr>
          <w:rFonts w:ascii="GHEA Grapalat" w:hAnsi="GHEA Grapalat"/>
          <w:iCs/>
          <w:lang w:val="hy-AM"/>
        </w:rPr>
        <w:t>Բարանովսկին</w:t>
      </w:r>
      <w:proofErr w:type="spellEnd"/>
      <w:r w:rsidRPr="007A04E2">
        <w:rPr>
          <w:rFonts w:ascii="GHEA Grapalat" w:hAnsi="GHEA Grapalat"/>
          <w:iCs/>
          <w:lang w:val="hy-AM"/>
        </w:rPr>
        <w:t xml:space="preserve"> ընդդեմ Լեհաստանի</w:t>
      </w:r>
      <w:r w:rsidRPr="007A04E2">
        <w:rPr>
          <w:rFonts w:ascii="GHEA Grapalat" w:hAnsi="GHEA Grapalat"/>
          <w:lang w:val="hy-AM"/>
        </w:rPr>
        <w:t xml:space="preserve"> (</w:t>
      </w:r>
      <w:proofErr w:type="spellStart"/>
      <w:r w:rsidRPr="007A04E2">
        <w:rPr>
          <w:rFonts w:ascii="GHEA Grapalat" w:hAnsi="GHEA Grapalat"/>
          <w:lang w:val="hy-AM"/>
        </w:rPr>
        <w:t>Baranowski</w:t>
      </w:r>
      <w:proofErr w:type="spellEnd"/>
      <w:r w:rsidRPr="007A04E2">
        <w:rPr>
          <w:rFonts w:ascii="GHEA Grapalat" w:hAnsi="GHEA Grapalat"/>
          <w:lang w:val="hy-AM"/>
        </w:rPr>
        <w:t xml:space="preserve"> v. </w:t>
      </w:r>
      <w:proofErr w:type="spellStart"/>
      <w:r w:rsidRPr="007A04E2">
        <w:rPr>
          <w:rFonts w:ascii="GHEA Grapalat" w:hAnsi="GHEA Grapalat"/>
          <w:lang w:val="hy-AM"/>
        </w:rPr>
        <w:t>Poland</w:t>
      </w:r>
      <w:proofErr w:type="spellEnd"/>
      <w:r w:rsidRPr="007A04E2">
        <w:rPr>
          <w:rFonts w:ascii="GHEA Grapalat" w:hAnsi="GHEA Grapalat"/>
          <w:lang w:val="hy-AM"/>
        </w:rPr>
        <w:t xml:space="preserve">) 2000 </w:t>
      </w:r>
      <w:r>
        <w:rPr>
          <w:rFonts w:ascii="GHEA Grapalat" w:hAnsi="GHEA Grapalat"/>
          <w:lang w:val="hy-AM"/>
        </w:rPr>
        <w:t xml:space="preserve">թվականի մարտի 28-ի </w:t>
      </w:r>
      <w:r w:rsidRPr="007A04E2">
        <w:rPr>
          <w:rFonts w:ascii="GHEA Grapalat" w:hAnsi="GHEA Grapalat"/>
          <w:lang w:val="hy-AM"/>
        </w:rPr>
        <w:t>գործով վճիռ, Զեկույցներ 2000</w:t>
      </w:r>
      <w:r w:rsidRPr="007A04E2">
        <w:rPr>
          <w:rFonts w:ascii="GHEA Grapalat" w:hAnsi="GHEA Grapalat"/>
          <w:lang w:val="hy-AM"/>
        </w:rPr>
        <w:noBreakHyphen/>
        <w:t xml:space="preserve">III, գանգատ թիվ 28358/95, § 52, </w:t>
      </w:r>
      <w:r w:rsidRPr="007A04E2">
        <w:rPr>
          <w:rFonts w:ascii="GHEA Grapalat" w:hAnsi="GHEA Grapalat"/>
          <w:lang w:val="af-ZA"/>
        </w:rPr>
        <w:t>Սանդեյ Թայմս</w:t>
      </w:r>
      <w:r w:rsidRPr="007A04E2">
        <w:rPr>
          <w:rFonts w:ascii="GHEA Grapalat" w:hAnsi="GHEA Grapalat"/>
          <w:lang w:val="hy-AM"/>
        </w:rPr>
        <w:t>ն</w:t>
      </w:r>
      <w:r w:rsidRPr="007A04E2">
        <w:rPr>
          <w:rFonts w:ascii="GHEA Grapalat" w:hAnsi="GHEA Grapalat"/>
          <w:lang w:val="af-ZA"/>
        </w:rPr>
        <w:t xml:space="preserve"> ընդդեմ Միացյալ Թագավորության</w:t>
      </w:r>
      <w:r w:rsidRPr="007A04E2">
        <w:rPr>
          <w:rFonts w:ascii="GHEA Grapalat" w:hAnsi="GHEA Grapalat"/>
          <w:lang w:val="hy-AM"/>
        </w:rPr>
        <w:t xml:space="preserve"> (</w:t>
      </w:r>
      <w:proofErr w:type="spellStart"/>
      <w:r w:rsidRPr="007A04E2">
        <w:rPr>
          <w:rFonts w:ascii="GHEA Grapalat" w:hAnsi="GHEA Grapalat"/>
          <w:lang w:val="hy-AM"/>
        </w:rPr>
        <w:t>Sunday</w:t>
      </w:r>
      <w:proofErr w:type="spellEnd"/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lang w:val="hy-AM"/>
        </w:rPr>
        <w:t>Times</w:t>
      </w:r>
      <w:proofErr w:type="spellEnd"/>
      <w:r w:rsidRPr="007A04E2">
        <w:rPr>
          <w:rFonts w:ascii="GHEA Grapalat" w:hAnsi="GHEA Grapalat"/>
          <w:lang w:val="hy-AM"/>
        </w:rPr>
        <w:t xml:space="preserve"> v. </w:t>
      </w:r>
      <w:proofErr w:type="spellStart"/>
      <w:r w:rsidRPr="007A04E2">
        <w:rPr>
          <w:rFonts w:ascii="GHEA Grapalat" w:hAnsi="GHEA Grapalat"/>
          <w:lang w:val="hy-AM"/>
        </w:rPr>
        <w:t>United</w:t>
      </w:r>
      <w:proofErr w:type="spellEnd"/>
      <w:r w:rsidRPr="007A04E2">
        <w:rPr>
          <w:rFonts w:ascii="GHEA Grapalat" w:hAnsi="GHEA Grapalat"/>
          <w:lang w:val="hy-AM"/>
        </w:rPr>
        <w:t xml:space="preserve"> </w:t>
      </w:r>
      <w:proofErr w:type="spellStart"/>
      <w:r w:rsidRPr="007A04E2">
        <w:rPr>
          <w:rFonts w:ascii="GHEA Grapalat" w:hAnsi="GHEA Grapalat"/>
          <w:lang w:val="hy-AM"/>
        </w:rPr>
        <w:t>Kingdom</w:t>
      </w:r>
      <w:proofErr w:type="spellEnd"/>
      <w:r w:rsidRPr="007A04E2">
        <w:rPr>
          <w:rFonts w:ascii="GHEA Grapalat" w:hAnsi="GHEA Grapalat"/>
          <w:lang w:val="hy-AM"/>
        </w:rPr>
        <w:t>)</w:t>
      </w:r>
      <w:r w:rsidRPr="007A04E2">
        <w:rPr>
          <w:rFonts w:ascii="GHEA Grapalat" w:hAnsi="GHEA Grapalat"/>
          <w:lang w:val="af-ZA"/>
        </w:rPr>
        <w:t xml:space="preserve"> 1979 </w:t>
      </w:r>
      <w:r w:rsidRPr="007A04E2">
        <w:rPr>
          <w:rFonts w:ascii="GHEA Grapalat" w:hAnsi="GHEA Grapalat"/>
          <w:lang w:val="hy-AM"/>
        </w:rPr>
        <w:t xml:space="preserve">թվականի ապրիլի 26-ի գործով վճիռ, </w:t>
      </w:r>
      <w:r w:rsidRPr="007A04E2">
        <w:rPr>
          <w:rFonts w:ascii="GHEA Grapalat" w:hAnsi="GHEA Grapalat"/>
          <w:lang w:val="af-ZA"/>
        </w:rPr>
        <w:t xml:space="preserve">գանգատ թիվ 6538/74, </w:t>
      </w:r>
      <w:r w:rsidRPr="007A04E2">
        <w:rPr>
          <w:rFonts w:ascii="GHEA Grapalat" w:hAnsi="GHEA Grapalat"/>
          <w:lang w:val="hy-AM"/>
        </w:rPr>
        <w:t xml:space="preserve">§ </w:t>
      </w:r>
      <w:r w:rsidRPr="007A04E2">
        <w:rPr>
          <w:rFonts w:ascii="GHEA Grapalat" w:hAnsi="GHEA Grapalat"/>
          <w:lang w:val="af-ZA"/>
        </w:rPr>
        <w:t>49</w:t>
      </w:r>
    </w:p>
  </w:footnote>
  <w:footnote w:id="6">
    <w:p w:rsidR="00275F60" w:rsidRPr="00350681" w:rsidRDefault="00275F60" w:rsidP="00350681">
      <w:pPr>
        <w:pStyle w:val="FootnoteText"/>
        <w:jc w:val="both"/>
        <w:rPr>
          <w:rFonts w:ascii="GHEA Grapalat" w:hAnsi="GHEA Grapalat"/>
          <w:lang w:val="hy-AM"/>
        </w:rPr>
      </w:pPr>
      <w:r w:rsidRPr="007A04E2">
        <w:rPr>
          <w:rStyle w:val="FootnoteReference"/>
          <w:rFonts w:ascii="GHEA Grapalat" w:hAnsi="GHEA Grapalat"/>
        </w:rPr>
        <w:footnoteRef/>
      </w:r>
      <w:r w:rsidRPr="007A04E2">
        <w:rPr>
          <w:rFonts w:ascii="GHEA Grapalat" w:hAnsi="GHEA Grapalat"/>
          <w:lang w:val="hy-AM"/>
        </w:rPr>
        <w:t xml:space="preserve"> </w:t>
      </w:r>
      <w:hyperlink r:id="rId2" w:history="1">
        <w:r w:rsidRPr="007A04E2">
          <w:rPr>
            <w:rStyle w:val="Hyperlink"/>
            <w:rFonts w:ascii="GHEA Grapalat" w:hAnsi="GHEA Grapalat"/>
            <w:lang w:val="hy-AM"/>
          </w:rPr>
          <w:t>https://www.gesetze-im-internet.de/englisch_stpo/englisch_stpo.html</w:t>
        </w:r>
      </w:hyperlink>
      <w:r w:rsidRPr="00350681">
        <w:rPr>
          <w:rFonts w:ascii="GHEA Grapalat" w:hAnsi="GHEA Grapalat"/>
          <w:lang w:val="hy-AM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2E8E"/>
    <w:multiLevelType w:val="hybridMultilevel"/>
    <w:tmpl w:val="B9406E7A"/>
    <w:lvl w:ilvl="0" w:tplc="C832C59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4168"/>
    <w:multiLevelType w:val="hybridMultilevel"/>
    <w:tmpl w:val="94B8D976"/>
    <w:lvl w:ilvl="0" w:tplc="DB1439E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610EB"/>
    <w:multiLevelType w:val="hybridMultilevel"/>
    <w:tmpl w:val="9788EB26"/>
    <w:lvl w:ilvl="0" w:tplc="A5F6537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6C47"/>
    <w:multiLevelType w:val="hybridMultilevel"/>
    <w:tmpl w:val="927C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61A6"/>
    <w:multiLevelType w:val="hybridMultilevel"/>
    <w:tmpl w:val="35BAA304"/>
    <w:lvl w:ilvl="0" w:tplc="D71A93C4">
      <w:start w:val="1"/>
      <w:numFmt w:val="decimal"/>
      <w:lvlText w:val="%1.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A341D9"/>
    <w:multiLevelType w:val="hybridMultilevel"/>
    <w:tmpl w:val="0F349830"/>
    <w:lvl w:ilvl="0" w:tplc="CE72963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78E"/>
    <w:multiLevelType w:val="hybridMultilevel"/>
    <w:tmpl w:val="E4EA7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64F5F"/>
    <w:multiLevelType w:val="hybridMultilevel"/>
    <w:tmpl w:val="76B0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0"/>
    <w:rsid w:val="00035B9D"/>
    <w:rsid w:val="000840C3"/>
    <w:rsid w:val="000A2A89"/>
    <w:rsid w:val="000B0206"/>
    <w:rsid w:val="000C5B3F"/>
    <w:rsid w:val="000D7086"/>
    <w:rsid w:val="000E0542"/>
    <w:rsid w:val="000E7AAA"/>
    <w:rsid w:val="000F2E20"/>
    <w:rsid w:val="00101324"/>
    <w:rsid w:val="00101FF4"/>
    <w:rsid w:val="00104B68"/>
    <w:rsid w:val="00114021"/>
    <w:rsid w:val="001457F3"/>
    <w:rsid w:val="00151236"/>
    <w:rsid w:val="00155D98"/>
    <w:rsid w:val="00161CAE"/>
    <w:rsid w:val="001639A9"/>
    <w:rsid w:val="00192A04"/>
    <w:rsid w:val="001B259D"/>
    <w:rsid w:val="001B5945"/>
    <w:rsid w:val="001D5A0F"/>
    <w:rsid w:val="002052C0"/>
    <w:rsid w:val="00223F9A"/>
    <w:rsid w:val="0022569C"/>
    <w:rsid w:val="00230328"/>
    <w:rsid w:val="00241EF7"/>
    <w:rsid w:val="00254264"/>
    <w:rsid w:val="00273442"/>
    <w:rsid w:val="00275F60"/>
    <w:rsid w:val="00295839"/>
    <w:rsid w:val="002B4A0F"/>
    <w:rsid w:val="002B7304"/>
    <w:rsid w:val="003069E5"/>
    <w:rsid w:val="00350681"/>
    <w:rsid w:val="003636CA"/>
    <w:rsid w:val="00393506"/>
    <w:rsid w:val="003948CC"/>
    <w:rsid w:val="003969E3"/>
    <w:rsid w:val="003B0135"/>
    <w:rsid w:val="003C3684"/>
    <w:rsid w:val="003C41DC"/>
    <w:rsid w:val="003E1E79"/>
    <w:rsid w:val="003E5A8F"/>
    <w:rsid w:val="003F227A"/>
    <w:rsid w:val="00423F91"/>
    <w:rsid w:val="00440414"/>
    <w:rsid w:val="004544A0"/>
    <w:rsid w:val="00455876"/>
    <w:rsid w:val="00484100"/>
    <w:rsid w:val="00494CD4"/>
    <w:rsid w:val="004A67A4"/>
    <w:rsid w:val="004B12C3"/>
    <w:rsid w:val="004B288B"/>
    <w:rsid w:val="004C411D"/>
    <w:rsid w:val="004C6DEB"/>
    <w:rsid w:val="004D0C1F"/>
    <w:rsid w:val="004E24EA"/>
    <w:rsid w:val="00510AD2"/>
    <w:rsid w:val="00517F2B"/>
    <w:rsid w:val="005330B9"/>
    <w:rsid w:val="00534A94"/>
    <w:rsid w:val="00536CA6"/>
    <w:rsid w:val="005405F2"/>
    <w:rsid w:val="005510A5"/>
    <w:rsid w:val="005749E6"/>
    <w:rsid w:val="00584384"/>
    <w:rsid w:val="005865EE"/>
    <w:rsid w:val="00597AC5"/>
    <w:rsid w:val="005C427F"/>
    <w:rsid w:val="005E7458"/>
    <w:rsid w:val="005E7A9B"/>
    <w:rsid w:val="00624466"/>
    <w:rsid w:val="006256C3"/>
    <w:rsid w:val="00635975"/>
    <w:rsid w:val="0064564C"/>
    <w:rsid w:val="00653F0F"/>
    <w:rsid w:val="006555D8"/>
    <w:rsid w:val="00672BCA"/>
    <w:rsid w:val="0068027A"/>
    <w:rsid w:val="0068178D"/>
    <w:rsid w:val="006C17A6"/>
    <w:rsid w:val="00724C23"/>
    <w:rsid w:val="00734338"/>
    <w:rsid w:val="00741027"/>
    <w:rsid w:val="0074599B"/>
    <w:rsid w:val="007604A8"/>
    <w:rsid w:val="007631AA"/>
    <w:rsid w:val="00765080"/>
    <w:rsid w:val="007A04E2"/>
    <w:rsid w:val="007A2F6C"/>
    <w:rsid w:val="007E2912"/>
    <w:rsid w:val="007F773A"/>
    <w:rsid w:val="00804AE7"/>
    <w:rsid w:val="0083405E"/>
    <w:rsid w:val="00853714"/>
    <w:rsid w:val="0085432E"/>
    <w:rsid w:val="00874284"/>
    <w:rsid w:val="008768AD"/>
    <w:rsid w:val="00891832"/>
    <w:rsid w:val="00892683"/>
    <w:rsid w:val="008B131E"/>
    <w:rsid w:val="008B7925"/>
    <w:rsid w:val="008C1750"/>
    <w:rsid w:val="008D4552"/>
    <w:rsid w:val="008E0A91"/>
    <w:rsid w:val="008E1C9C"/>
    <w:rsid w:val="008E2F9D"/>
    <w:rsid w:val="00904AC7"/>
    <w:rsid w:val="00931B2D"/>
    <w:rsid w:val="009366AF"/>
    <w:rsid w:val="009367AC"/>
    <w:rsid w:val="00940BE4"/>
    <w:rsid w:val="009672A9"/>
    <w:rsid w:val="009928F4"/>
    <w:rsid w:val="00994F3C"/>
    <w:rsid w:val="009955EA"/>
    <w:rsid w:val="009A086C"/>
    <w:rsid w:val="009B5792"/>
    <w:rsid w:val="009D3AAC"/>
    <w:rsid w:val="009E28F6"/>
    <w:rsid w:val="009E4D74"/>
    <w:rsid w:val="009F7AF1"/>
    <w:rsid w:val="00A008B0"/>
    <w:rsid w:val="00A26D02"/>
    <w:rsid w:val="00A315ED"/>
    <w:rsid w:val="00A641F9"/>
    <w:rsid w:val="00A7280A"/>
    <w:rsid w:val="00A77D9B"/>
    <w:rsid w:val="00A95C50"/>
    <w:rsid w:val="00A97C9B"/>
    <w:rsid w:val="00AE23D3"/>
    <w:rsid w:val="00AE39F5"/>
    <w:rsid w:val="00AE40DB"/>
    <w:rsid w:val="00AF070F"/>
    <w:rsid w:val="00B03B4E"/>
    <w:rsid w:val="00B105B4"/>
    <w:rsid w:val="00B42744"/>
    <w:rsid w:val="00B51812"/>
    <w:rsid w:val="00B5260C"/>
    <w:rsid w:val="00B957AB"/>
    <w:rsid w:val="00BA43B2"/>
    <w:rsid w:val="00BC5E81"/>
    <w:rsid w:val="00BD0754"/>
    <w:rsid w:val="00BE7A38"/>
    <w:rsid w:val="00BE7B03"/>
    <w:rsid w:val="00C0032B"/>
    <w:rsid w:val="00C1751D"/>
    <w:rsid w:val="00C365A9"/>
    <w:rsid w:val="00C55E51"/>
    <w:rsid w:val="00C5706D"/>
    <w:rsid w:val="00C90FDF"/>
    <w:rsid w:val="00CB4355"/>
    <w:rsid w:val="00CB662A"/>
    <w:rsid w:val="00CC359C"/>
    <w:rsid w:val="00CD0CB7"/>
    <w:rsid w:val="00CD5CCA"/>
    <w:rsid w:val="00CD5F98"/>
    <w:rsid w:val="00D0164D"/>
    <w:rsid w:val="00D249CB"/>
    <w:rsid w:val="00D412FB"/>
    <w:rsid w:val="00D41821"/>
    <w:rsid w:val="00D53164"/>
    <w:rsid w:val="00D61E0A"/>
    <w:rsid w:val="00D63A15"/>
    <w:rsid w:val="00D63EAF"/>
    <w:rsid w:val="00DB2585"/>
    <w:rsid w:val="00DD4115"/>
    <w:rsid w:val="00DD6399"/>
    <w:rsid w:val="00DE2E17"/>
    <w:rsid w:val="00DF433C"/>
    <w:rsid w:val="00DF4C79"/>
    <w:rsid w:val="00E20F8D"/>
    <w:rsid w:val="00E227E0"/>
    <w:rsid w:val="00E55CE5"/>
    <w:rsid w:val="00E57B9E"/>
    <w:rsid w:val="00E762C5"/>
    <w:rsid w:val="00E8319C"/>
    <w:rsid w:val="00EA76D1"/>
    <w:rsid w:val="00EE2A8D"/>
    <w:rsid w:val="00EE4CBF"/>
    <w:rsid w:val="00EF4168"/>
    <w:rsid w:val="00EF6DFF"/>
    <w:rsid w:val="00F14444"/>
    <w:rsid w:val="00F3008A"/>
    <w:rsid w:val="00F33F4D"/>
    <w:rsid w:val="00F3494E"/>
    <w:rsid w:val="00F42D85"/>
    <w:rsid w:val="00F609A0"/>
    <w:rsid w:val="00F71B3A"/>
    <w:rsid w:val="00F82580"/>
    <w:rsid w:val="00F850E1"/>
    <w:rsid w:val="00F94CF4"/>
    <w:rsid w:val="00FC355D"/>
    <w:rsid w:val="00FD0C08"/>
    <w:rsid w:val="00FD1D2F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8670"/>
  <w15:docId w15:val="{2AC455AE-3E21-471D-B004-0444D3D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8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8B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A008B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08B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08B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008B0"/>
    <w:rPr>
      <w:vertAlign w:val="superscript"/>
    </w:rPr>
  </w:style>
  <w:style w:type="character" w:styleId="PageNumber">
    <w:name w:val="page number"/>
    <w:basedOn w:val="DefaultParagraphFont"/>
    <w:semiHidden/>
    <w:unhideWhenUsed/>
    <w:rsid w:val="00A008B0"/>
  </w:style>
  <w:style w:type="paragraph" w:styleId="Header">
    <w:name w:val="header"/>
    <w:basedOn w:val="Normal"/>
    <w:link w:val="HeaderChar"/>
    <w:uiPriority w:val="99"/>
    <w:unhideWhenUsed/>
    <w:rsid w:val="00D63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3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E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2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65A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65A9"/>
  </w:style>
  <w:style w:type="character" w:customStyle="1" w:styleId="s6b621b36">
    <w:name w:val="s6b621b36"/>
    <w:basedOn w:val="DefaultParagraphFont"/>
    <w:rsid w:val="00C365A9"/>
  </w:style>
  <w:style w:type="character" w:styleId="CommentReference">
    <w:name w:val="annotation reference"/>
    <w:basedOn w:val="DefaultParagraphFont"/>
    <w:uiPriority w:val="99"/>
    <w:semiHidden/>
    <w:unhideWhenUsed/>
    <w:rsid w:val="0093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B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B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B2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setze-im-internet.de/englisch_stpo/englisch_stpo.html" TargetMode="External"/><Relationship Id="rId1" Type="http://schemas.openxmlformats.org/officeDocument/2006/relationships/hyperlink" Target="https://law.utexas.edu/transnational/foreign-law-translations/german/case.php?id=1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F71B-4E5F-4CF0-ADE7-266B1211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Chandiryan</dc:creator>
  <cp:lastModifiedBy>Shushanik Khurshudyan</cp:lastModifiedBy>
  <cp:revision>13</cp:revision>
  <dcterms:created xsi:type="dcterms:W3CDTF">2017-03-06T08:17:00Z</dcterms:created>
  <dcterms:modified xsi:type="dcterms:W3CDTF">2017-03-09T08:27:00Z</dcterms:modified>
</cp:coreProperties>
</file>