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B0" w:rsidRDefault="00A008B0" w:rsidP="00A008B0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center"/>
        <w:rPr>
          <w:rFonts w:ascii="GHEA Grapalat" w:hAnsi="GHEA Grapalat" w:cs="Arial"/>
          <w:b/>
          <w:color w:val="000000"/>
          <w:shd w:val="clear" w:color="auto" w:fill="FFFFFF"/>
        </w:rPr>
      </w:pPr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ՀՀ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մարդու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իրավունքների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պաշտպանի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դիրքորոշումը</w:t>
      </w:r>
      <w:proofErr w:type="spellEnd"/>
    </w:p>
    <w:p w:rsidR="00A008B0" w:rsidRDefault="00A008B0" w:rsidP="00A008B0">
      <w:pPr>
        <w:tabs>
          <w:tab w:val="left" w:pos="0"/>
          <w:tab w:val="left" w:pos="709"/>
        </w:tabs>
        <w:spacing w:line="276" w:lineRule="auto"/>
        <w:jc w:val="center"/>
        <w:rPr>
          <w:rFonts w:ascii="GHEA Grapalat" w:hAnsi="GHEA Grapalat" w:cs="Arial"/>
          <w:b/>
          <w:color w:val="000000"/>
          <w:shd w:val="clear" w:color="auto" w:fill="FFFFFF"/>
        </w:rPr>
      </w:pPr>
      <w:r>
        <w:rPr>
          <w:rFonts w:ascii="GHEA Grapalat" w:hAnsi="GHEA Grapalat" w:cs="Arial"/>
          <w:b/>
          <w:color w:val="000000"/>
          <w:shd w:val="clear" w:color="auto" w:fill="FFFFFF"/>
        </w:rPr>
        <w:t>«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Սյունիքի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մարզի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ընդհանուր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իրավասության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առաջին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ատյանի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դատարանի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դիմումի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հիման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վրա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՝ ՀՀ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քրեական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դատավարության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օրենսգրքի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59-րդ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հոդվածի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4-րդ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մասի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և 77-րդ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հոդվածի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՝ ՀՀ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Սահմանադրությանը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համապատասխանության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հարցը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որոշելու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վերաբերյալ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գործի</w:t>
      </w:r>
      <w:proofErr w:type="spellEnd"/>
      <w:r>
        <w:rPr>
          <w:rFonts w:ascii="GHEA Grapalat" w:hAnsi="GHEA Grapalat" w:cs="Arial"/>
          <w:b/>
          <w:color w:val="000000"/>
          <w:shd w:val="clear" w:color="auto" w:fill="FFFFFF"/>
        </w:rPr>
        <w:t xml:space="preserve">» </w:t>
      </w:r>
      <w:proofErr w:type="spellStart"/>
      <w:r>
        <w:rPr>
          <w:rFonts w:ascii="GHEA Grapalat" w:hAnsi="GHEA Grapalat" w:cs="Arial"/>
          <w:b/>
          <w:color w:val="000000"/>
          <w:shd w:val="clear" w:color="auto" w:fill="FFFFFF"/>
        </w:rPr>
        <w:t>կապակցությամբ</w:t>
      </w:r>
      <w:proofErr w:type="spellEnd"/>
    </w:p>
    <w:p w:rsidR="00A008B0" w:rsidRDefault="00A008B0" w:rsidP="00A008B0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Fonts w:ascii="GHEA Grapalat" w:hAnsi="GHEA Grapalat" w:cs="Arial"/>
          <w:color w:val="000000"/>
          <w:shd w:val="clear" w:color="auto" w:fill="FFFFFF"/>
        </w:rPr>
      </w:pPr>
    </w:p>
    <w:p w:rsidR="00A008B0" w:rsidRDefault="00A008B0" w:rsidP="00A008B0">
      <w:pPr>
        <w:pStyle w:val="ListParagraph"/>
        <w:tabs>
          <w:tab w:val="left" w:pos="0"/>
          <w:tab w:val="left" w:pos="709"/>
        </w:tabs>
        <w:spacing w:after="240" w:line="276" w:lineRule="auto"/>
        <w:ind w:left="0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</w:rPr>
      </w:pPr>
    </w:p>
    <w:p w:rsidR="00A008B0" w:rsidRDefault="00A008B0" w:rsidP="00A008B0">
      <w:pPr>
        <w:pStyle w:val="ListParagraph"/>
        <w:tabs>
          <w:tab w:val="left" w:pos="0"/>
          <w:tab w:val="left" w:pos="709"/>
        </w:tabs>
        <w:spacing w:after="240" w:line="276" w:lineRule="auto"/>
        <w:ind w:left="0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</w:rPr>
      </w:pP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Դիմումատուի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պահանջը</w:t>
      </w:r>
      <w:proofErr w:type="spellEnd"/>
    </w:p>
    <w:p w:rsidR="00A008B0" w:rsidRDefault="00A008B0" w:rsidP="00A008B0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Fonts w:ascii="GHEA Grapalat" w:hAnsi="GHEA Grapalat" w:cs="Arial"/>
          <w:color w:val="000000"/>
          <w:shd w:val="clear" w:color="auto" w:fill="FFFFFF"/>
        </w:rPr>
      </w:pPr>
      <w:r>
        <w:rPr>
          <w:rFonts w:ascii="GHEA Grapalat" w:hAnsi="GHEA Grapalat" w:cs="Arial"/>
          <w:color w:val="000000"/>
          <w:shd w:val="clear" w:color="auto" w:fill="FFFFFF"/>
        </w:rPr>
        <w:tab/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Սյունիքի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մարզի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ընդհանուր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իրավասության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առաջին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ատյանի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դատարանը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(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այսուհետ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՝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Դիմումատու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),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ղեկավարվելով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2005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թվականի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փոփոխություններով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ՀՀ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Սահմանադրության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101-րդ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հոդվածի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1-ին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մասի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7-րդ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կետով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2016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թվականի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օգոստոսի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4-ին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դիմել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է ՀՀ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սահմանադրական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դատարան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՝ ՀՀ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քրեական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դատավարության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օրենսգրքի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(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այսուհետ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՝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Օրենգիրք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) 59-րդ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հոդվածի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4-րդ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մասի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և 77-րդ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հոդվածի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՝ ՀՀ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Սահմանադրությանը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համապատասխանության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հարցը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որոշելու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կապակցությամբ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>:</w:t>
      </w:r>
    </w:p>
    <w:p w:rsidR="00A008B0" w:rsidRDefault="00A008B0" w:rsidP="00A008B0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Fonts w:ascii="GHEA Grapalat" w:hAnsi="GHEA Grapalat" w:cs="Arial"/>
          <w:color w:val="000000"/>
          <w:shd w:val="clear" w:color="auto" w:fill="FFFFFF"/>
        </w:rPr>
      </w:pPr>
    </w:p>
    <w:p w:rsidR="00A008B0" w:rsidRDefault="00A008B0" w:rsidP="00A008B0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</w:rPr>
      </w:pP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Դիմումում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վկայակոչված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իրավական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հիմքերը</w:t>
      </w:r>
      <w:proofErr w:type="spellEnd"/>
    </w:p>
    <w:p w:rsidR="00A008B0" w:rsidRDefault="00A008B0" w:rsidP="00A008B0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Fonts w:ascii="GHEA Grapalat" w:hAnsi="GHEA Grapalat" w:cs="Arial"/>
          <w:color w:val="000000"/>
          <w:shd w:val="clear" w:color="auto" w:fill="FFFFFF"/>
        </w:rPr>
      </w:pPr>
      <w:r>
        <w:rPr>
          <w:rFonts w:ascii="GHEA Grapalat" w:hAnsi="GHEA Grapalat" w:cs="Arial"/>
          <w:color w:val="000000"/>
          <w:shd w:val="clear" w:color="auto" w:fill="FFFFFF"/>
        </w:rPr>
        <w:tab/>
        <w:t xml:space="preserve">ՀՀ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քաղաքացիական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օրենսգրքի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33-րդ, 34-րդ և 35-րդ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հոդվածների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համապատասխան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դրույթների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համադրումից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հետևում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է,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որ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տասնչորս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տարին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չլրացած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անչափահասները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օրենքի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ուժով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համարվում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անգործունակ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Միաժամանակ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Օրենսգրքի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59-րդ, 76-րդ և 77-րդ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հոդվածների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համապատասխան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դրույթների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համադրումից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հետևում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է,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որ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Օրենսգիրքը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ի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տարբերություն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տասնչորսից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մինչև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տասնութ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տարեկան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անչափահաս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տուժողների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տասնչորս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տարին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չլրացած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անչափահաս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տուժողներին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հնարավորություն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չի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տալիս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իրենց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տարիքին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և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հասունության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մակարդակին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համապատասխան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դիրքորոշում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(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կարծիք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)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հայտնել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կասկածյալի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կամ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մեղադրյակլի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հետ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հաշվելու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վերաբերյալ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>:</w:t>
      </w:r>
    </w:p>
    <w:p w:rsidR="00A008B0" w:rsidRDefault="00A008B0" w:rsidP="00A008B0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Fonts w:ascii="GHEA Grapalat" w:hAnsi="GHEA Grapalat" w:cs="Arial"/>
          <w:color w:val="000000"/>
          <w:shd w:val="clear" w:color="auto" w:fill="FFFFFF"/>
        </w:rPr>
      </w:pPr>
      <w:r>
        <w:rPr>
          <w:rFonts w:ascii="GHEA Grapalat" w:hAnsi="GHEA Grapalat" w:cs="Arial"/>
          <w:color w:val="000000"/>
          <w:shd w:val="clear" w:color="auto" w:fill="FFFFFF"/>
        </w:rPr>
        <w:tab/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Վորոնշյալը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դիմում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ներկայացրած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անձի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պնդմամաբ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հակասում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է 2015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թվականի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փոփոխություններով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ՀՀ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Սահմանադրության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37-րդ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հոդվածին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>:</w:t>
      </w:r>
    </w:p>
    <w:p w:rsidR="00A008B0" w:rsidRDefault="00A008B0" w:rsidP="00A008B0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Fonts w:ascii="GHEA Grapalat" w:hAnsi="GHEA Grapalat" w:cs="Arial"/>
          <w:color w:val="000000"/>
          <w:shd w:val="clear" w:color="auto" w:fill="FFFFFF"/>
        </w:rPr>
      </w:pPr>
    </w:p>
    <w:p w:rsidR="00A008B0" w:rsidRDefault="00A008B0" w:rsidP="00A008B0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</w:rPr>
      </w:pPr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ՀՀ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քրեական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դատավարության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օրենսգրքի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 59-րդ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հոդվածի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 4-րդ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մասի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 և 77-րդ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հոդվածի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՝ ՀՀ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Սահմանադրությանը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համապատասխանության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հարցի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վերաբերյալ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 ՀՀ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մարդու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իրավունքների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պաշտպանի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աշխատակազմի</w:t>
      </w:r>
      <w:proofErr w:type="spellEnd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/>
          <w:color w:val="000000"/>
          <w:u w:val="single"/>
          <w:shd w:val="clear" w:color="auto" w:fill="FFFFFF"/>
        </w:rPr>
        <w:t>վերլուծությունը</w:t>
      </w:r>
      <w:proofErr w:type="spellEnd"/>
    </w:p>
    <w:p w:rsidR="00A008B0" w:rsidRDefault="00A008B0" w:rsidP="00A008B0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Fonts w:ascii="GHEA Grapalat" w:hAnsi="GHEA Grapalat" w:cs="Arial"/>
          <w:color w:val="000000"/>
          <w:shd w:val="clear" w:color="auto" w:fill="FFFFFF"/>
        </w:rPr>
      </w:pPr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ab/>
      </w:r>
      <w:proofErr w:type="gramStart"/>
      <w:r>
        <w:rPr>
          <w:rFonts w:ascii="GHEA Grapalat" w:hAnsi="GHEA Grapalat" w:cs="Arial"/>
          <w:color w:val="000000"/>
          <w:shd w:val="clear" w:color="auto" w:fill="FFFFFF"/>
        </w:rPr>
        <w:t xml:space="preserve">ՀՀ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Սահմանադրության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37-րդ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հոդվածի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համաձայն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«1.</w:t>
      </w:r>
      <w:proofErr w:type="gram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Երեխան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իրավունք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ունի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ազատ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արտահայտելու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իր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կարծիքը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որը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երեխայի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տարիքին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և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հասունության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մակարդակին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համապատասխան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հաշվի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է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առնվում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իրեն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վերաբերող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հարցերում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>:</w:t>
      </w:r>
    </w:p>
    <w:p w:rsidR="00A008B0" w:rsidRDefault="00A008B0" w:rsidP="00A008B0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Fonts w:ascii="GHEA Grapalat" w:hAnsi="GHEA Grapalat" w:cs="Arial"/>
          <w:color w:val="000000"/>
          <w:shd w:val="clear" w:color="auto" w:fill="FFFFFF"/>
        </w:rPr>
      </w:pPr>
      <w:r>
        <w:rPr>
          <w:rFonts w:ascii="GHEA Grapalat" w:hAnsi="GHEA Grapalat" w:cs="Arial"/>
          <w:color w:val="000000"/>
          <w:shd w:val="clear" w:color="auto" w:fill="FFFFFF"/>
        </w:rPr>
        <w:lastRenderedPageBreak/>
        <w:t xml:space="preserve">2.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Երեխային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վերաբերող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հարցերում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երեխայի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շահերը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պետք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է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առաջնահերթ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ուշադրության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արժանանան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>: (…</w:t>
      </w:r>
      <w:proofErr w:type="gramStart"/>
      <w:r>
        <w:rPr>
          <w:rFonts w:ascii="GHEA Grapalat" w:hAnsi="GHEA Grapalat" w:cs="Arial"/>
          <w:color w:val="000000"/>
          <w:shd w:val="clear" w:color="auto" w:fill="FFFFFF"/>
        </w:rPr>
        <w:t>)»</w:t>
      </w:r>
      <w:proofErr w:type="gramEnd"/>
      <w:r>
        <w:rPr>
          <w:rFonts w:ascii="GHEA Grapalat" w:hAnsi="GHEA Grapalat" w:cs="Arial"/>
          <w:color w:val="000000"/>
          <w:shd w:val="clear" w:color="auto" w:fill="FFFFFF"/>
        </w:rPr>
        <w:t>:</w:t>
      </w:r>
    </w:p>
    <w:p w:rsidR="00A008B0" w:rsidRDefault="00A008B0" w:rsidP="00A008B0">
      <w:pPr>
        <w:tabs>
          <w:tab w:val="left" w:pos="0"/>
          <w:tab w:val="left" w:pos="709"/>
        </w:tabs>
        <w:spacing w:line="276" w:lineRule="auto"/>
        <w:jc w:val="both"/>
        <w:rPr>
          <w:rFonts w:ascii="GHEA Grapalat" w:hAnsi="GHEA Grapalat" w:cs="Arial"/>
          <w:color w:val="000000"/>
          <w:shd w:val="clear" w:color="auto" w:fill="FFFFFF"/>
        </w:rPr>
      </w:pPr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ab/>
      </w:r>
      <w:r>
        <w:rPr>
          <w:rStyle w:val="PageNumber"/>
          <w:rFonts w:ascii="GHEA Grapalat" w:hAnsi="GHEA Grapalat" w:cs="Arial"/>
          <w:color w:val="000000"/>
          <w:shd w:val="clear" w:color="auto" w:fill="FFFFFF"/>
          <w:lang w:val="hy-AM"/>
        </w:rPr>
        <w:t>Երեխայի իրավունքների մաս</w:t>
      </w:r>
      <w:r>
        <w:rPr>
          <w:rStyle w:val="PageNumber"/>
          <w:rFonts w:ascii="GHEA Grapalat" w:hAnsi="GHEA Grapalat" w:cs="Arial"/>
          <w:color w:val="000000"/>
          <w:shd w:val="clear" w:color="auto" w:fill="FFFFFF"/>
          <w:lang w:val="ru-RU"/>
        </w:rPr>
        <w:t>ին</w:t>
      </w:r>
      <w:r>
        <w:rPr>
          <w:rStyle w:val="PageNumber"/>
          <w:rFonts w:ascii="GHEA Grapalat" w:hAnsi="GHEA Grapalat" w:cs="Arial"/>
          <w:color w:val="000000"/>
          <w:shd w:val="clear" w:color="auto" w:fill="FFFFFF"/>
          <w:lang w:val="fr-FR"/>
        </w:rPr>
        <w:t xml:space="preserve"> </w:t>
      </w:r>
      <w:r>
        <w:rPr>
          <w:rStyle w:val="PageNumber"/>
          <w:rFonts w:ascii="GHEA Grapalat" w:hAnsi="GHEA Grapalat" w:cs="Arial"/>
          <w:color w:val="000000"/>
          <w:shd w:val="clear" w:color="auto" w:fill="FFFFFF"/>
          <w:lang w:val="hy-AM"/>
        </w:rPr>
        <w:t xml:space="preserve">ՄԱԿ-ի </w:t>
      </w:r>
      <w:r>
        <w:rPr>
          <w:rStyle w:val="PageNumber"/>
          <w:rFonts w:ascii="GHEA Grapalat" w:hAnsi="GHEA Grapalat" w:cs="Arial"/>
          <w:color w:val="000000"/>
          <w:shd w:val="clear" w:color="auto" w:fill="FFFFFF"/>
          <w:lang w:val="ru-RU"/>
        </w:rPr>
        <w:t>կոնվեն</w:t>
      </w:r>
      <w:r>
        <w:rPr>
          <w:rStyle w:val="PageNumber"/>
          <w:rFonts w:ascii="GHEA Grapalat" w:hAnsi="GHEA Grapalat" w:cs="Arial"/>
          <w:color w:val="000000"/>
          <w:shd w:val="clear" w:color="auto" w:fill="FFFFFF"/>
          <w:lang w:val="hy-AM"/>
        </w:rPr>
        <w:t>ցիայի</w:t>
      </w:r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(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այսուհետ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՝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Կոնվենցիա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) 3-րդ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հոդվածի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համաձայն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երեխաների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նկատմամբ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բոլոր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գործողություններում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անկախ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այն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բանից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թե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դրանք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ձեռնարկվում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են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սոցիալական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ապահովության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հարցերով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զբաղվող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պետական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կամ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մասնավոր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հիմնարկների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դատարանների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վարչական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կամ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օրենսդրական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մարմինների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կողմից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առաջնահերթ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ուշադրություն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է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դարձվում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երեխայի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լավագույն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շահերին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: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Կոնվենցիայի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12-րդ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հոդվածի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համաձայն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 xml:space="preserve">՝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ի</w:t>
      </w:r>
      <w:r>
        <w:rPr>
          <w:rFonts w:ascii="GHEA Grapalat" w:hAnsi="GHEA Grapalat" w:cs="Arial"/>
          <w:color w:val="000000"/>
          <w:shd w:val="clear" w:color="auto" w:fill="FFFFFF"/>
        </w:rPr>
        <w:t>ր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հայացքները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ձևակերպելու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ընդունակ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երեխայի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համար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մասնակից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պետություններն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ապահովում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դրանք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ազատորեն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արտահայտելու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իրավունք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այն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բոլոր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դեպքերում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որոնք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վերաբերում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երեխային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Երեխայի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հայացքների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նկատմամբ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ցուցաբերվում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է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նրա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տարիքին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և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հասունությանը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համապատասխան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պատշաճ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ուշադրություն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Հոդվածն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ամրագրում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է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նաև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որ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այդ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նպատակով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երեխային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մասնավորապես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հնարավորություն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է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տրվում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իրեն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վերաբերող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ցանկացած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դատական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կամ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վարչական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քննության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ժամանակ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ներպետական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օրենսդրության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դատավարական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նորմերով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նախատեսված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կարգով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ունկնդրվել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թե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՛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անմիջականորեն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թե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՛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իր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ներկայացուցչի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կամ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համապատասխան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մարմնի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միջոցով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>:</w:t>
      </w:r>
      <w:r>
        <w:rPr>
          <w:rFonts w:ascii="GHEA Grapalat" w:hAnsi="GHEA Grapalat" w:cs="Arial"/>
          <w:color w:val="000000"/>
          <w:shd w:val="clear" w:color="auto" w:fill="FFFFFF"/>
        </w:rPr>
        <w:tab/>
      </w:r>
    </w:p>
    <w:p w:rsidR="00A008B0" w:rsidRDefault="00A008B0" w:rsidP="00A008B0">
      <w:pPr>
        <w:tabs>
          <w:tab w:val="left" w:pos="0"/>
          <w:tab w:val="left" w:pos="709"/>
        </w:tabs>
        <w:spacing w:line="276" w:lineRule="auto"/>
        <w:jc w:val="both"/>
        <w:rPr>
          <w:rFonts w:ascii="GHEA Grapalat" w:hAnsi="GHEA Grapalat" w:cs="Arial"/>
          <w:color w:val="000000"/>
          <w:shd w:val="clear" w:color="auto" w:fill="FFFFFF"/>
        </w:rPr>
      </w:pPr>
      <w:r>
        <w:rPr>
          <w:rFonts w:ascii="GHEA Grapalat" w:hAnsi="GHEA Grapalat" w:cs="Arial"/>
          <w:color w:val="000000"/>
          <w:shd w:val="clear" w:color="auto" w:fill="FFFFFF"/>
        </w:rPr>
        <w:tab/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Միաժամանակ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Կոնվենցիաի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19-րդ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հոդվածի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համաձայն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մասնակից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պետությունները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ձեռնարկում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անհրաժեշտ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բոլոր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օրենսդրական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վարչական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սոցիալական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և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կրթական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միջոցները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պաշտպանելու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երեխային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ծնողների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օրինական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խնամակալների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կամ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երեխայի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մասին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հոգ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տանող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ցանկացած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այլ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անձի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կողմից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ֆիզիկական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կամ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հոգեկան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բռնության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բոլոր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ձևերից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վիրավորանքից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կամ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չարաշահումից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հոգատարության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բացակայությունից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կամ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անուշադրությունից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կոպիտ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վերաբերմունքից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կամ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շահագործումից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ներառյալ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՝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սեռական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չարաշահումը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>:</w:t>
      </w:r>
    </w:p>
    <w:p w:rsidR="00A008B0" w:rsidRDefault="00A008B0" w:rsidP="00A008B0">
      <w:pPr>
        <w:tabs>
          <w:tab w:val="left" w:pos="0"/>
          <w:tab w:val="left" w:pos="709"/>
        </w:tabs>
        <w:spacing w:line="276" w:lineRule="auto"/>
        <w:jc w:val="both"/>
        <w:rPr>
          <w:rFonts w:ascii="GHEA Grapalat" w:hAnsi="GHEA Grapalat" w:cs="Arial"/>
          <w:color w:val="000000"/>
          <w:shd w:val="clear" w:color="auto" w:fill="FFFFFF"/>
        </w:rPr>
      </w:pPr>
      <w:r>
        <w:rPr>
          <w:rFonts w:ascii="GHEA Grapalat" w:hAnsi="GHEA Grapalat" w:cs="Arial"/>
          <w:color w:val="000000"/>
          <w:shd w:val="clear" w:color="auto" w:fill="FFFFFF"/>
        </w:rPr>
        <w:tab/>
      </w:r>
      <w:r>
        <w:rPr>
          <w:rFonts w:ascii="GHEA Grapalat" w:hAnsi="GHEA Grapalat" w:cs="Arial"/>
          <w:color w:val="000000"/>
          <w:shd w:val="clear" w:color="auto" w:fill="FFFFFF"/>
        </w:rPr>
        <w:tab/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Անհրաժեշտ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է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ընդգծել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որ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երեխաներն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ավելի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խոցելի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ինչի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հետևանքով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ենթարկվում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բռնության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այդ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թվում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նաև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իրենց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ծնողների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կողմից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Միջազգային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իրավունքի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տեսանկյունից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այս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բռնությունը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համարվում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է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ընտանեկան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բռնություն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որի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համար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սահմանվում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առանձնահատուկ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կարգավորումներ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Ավելին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>, «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Սոցիալական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աջակցության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մասին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» ՀՀ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օրենքի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2-րդ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հոդվածի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1-ին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մասի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7-րդ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կետի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համաձայն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ընտանեկան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բռնություն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է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համարվում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ընտանիքի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մեկ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անդամի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կողմից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մյուսի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նկատմամբ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ֆիզիկական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կամ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սեռական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կամ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հոգեբանական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բնույթի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բռնի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գործողությունների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(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բռնության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)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կիրառումը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կամ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տնտեսական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միջոցներից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զրկումը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: </w:t>
      </w:r>
    </w:p>
    <w:p w:rsidR="00A008B0" w:rsidRDefault="00A008B0" w:rsidP="00A008B0">
      <w:pPr>
        <w:tabs>
          <w:tab w:val="left" w:pos="0"/>
          <w:tab w:val="left" w:pos="709"/>
        </w:tabs>
        <w:spacing w:line="276" w:lineRule="auto"/>
        <w:jc w:val="both"/>
        <w:rPr>
          <w:rFonts w:ascii="GHEA Grapalat" w:hAnsi="GHEA Grapalat" w:cs="Arial"/>
          <w:color w:val="000000"/>
          <w:shd w:val="clear" w:color="auto" w:fill="FFFFFF"/>
        </w:rPr>
      </w:pPr>
      <w:r>
        <w:rPr>
          <w:rFonts w:ascii="GHEA Grapalat" w:hAnsi="GHEA Grapalat" w:cs="Arial"/>
          <w:color w:val="000000"/>
          <w:shd w:val="clear" w:color="auto" w:fill="FFFFFF"/>
        </w:rPr>
        <w:tab/>
      </w:r>
      <w:proofErr w:type="spellStart"/>
      <w:proofErr w:type="gramStart"/>
      <w:r>
        <w:rPr>
          <w:rFonts w:ascii="GHEA Grapalat" w:hAnsi="GHEA Grapalat" w:cs="Arial"/>
          <w:color w:val="000000"/>
          <w:shd w:val="clear" w:color="auto" w:fill="FFFFFF"/>
        </w:rPr>
        <w:t>Ուստի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երեխա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տուժողի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լսվելու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իրավունքի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և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մեղադրյալի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հետ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հաշտության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ինստիտուտի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բացակայությունը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քննելիս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հարցը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պետք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է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դիտարկել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երկու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տեսանկյունից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>՝ 1.</w:t>
      </w:r>
      <w:proofErr w:type="gram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GHEA Grapalat" w:hAnsi="GHEA Grapalat" w:cs="Arial"/>
          <w:color w:val="000000"/>
          <w:shd w:val="clear" w:color="auto" w:fill="FFFFFF"/>
        </w:rPr>
        <w:t>երեխայի</w:t>
      </w:r>
      <w:proofErr w:type="spellEnd"/>
      <w:proofErr w:type="gram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լսվելու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իրավունք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և 2. </w:t>
      </w:r>
      <w:proofErr w:type="spellStart"/>
      <w:proofErr w:type="gramStart"/>
      <w:r>
        <w:rPr>
          <w:rFonts w:ascii="GHEA Grapalat" w:hAnsi="GHEA Grapalat" w:cs="Arial"/>
          <w:color w:val="000000"/>
          <w:shd w:val="clear" w:color="auto" w:fill="FFFFFF"/>
        </w:rPr>
        <w:t>բռնությունից</w:t>
      </w:r>
      <w:proofErr w:type="spellEnd"/>
      <w:proofErr w:type="gram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պաշտպանության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</w:rPr>
        <w:t>իրավունք</w:t>
      </w:r>
      <w:proofErr w:type="spellEnd"/>
      <w:r>
        <w:rPr>
          <w:rFonts w:ascii="GHEA Grapalat" w:hAnsi="GHEA Grapalat" w:cs="Arial"/>
          <w:color w:val="000000"/>
          <w:shd w:val="clear" w:color="auto" w:fill="FFFFFF"/>
        </w:rPr>
        <w:t xml:space="preserve">: </w:t>
      </w:r>
    </w:p>
    <w:p w:rsidR="00A008B0" w:rsidRDefault="00A008B0" w:rsidP="00A008B0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Style w:val="PageNumber"/>
        </w:rPr>
      </w:pPr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ab/>
      </w:r>
    </w:p>
    <w:p w:rsidR="00A008B0" w:rsidRDefault="00A008B0" w:rsidP="00A008B0">
      <w:pPr>
        <w:pStyle w:val="ListParagraph"/>
        <w:tabs>
          <w:tab w:val="left" w:pos="0"/>
          <w:tab w:val="left" w:pos="709"/>
        </w:tabs>
        <w:spacing w:line="276" w:lineRule="auto"/>
        <w:ind w:left="0"/>
        <w:jc w:val="both"/>
        <w:rPr>
          <w:rStyle w:val="PageNumber"/>
          <w:rFonts w:ascii="GHEA Grapalat" w:hAnsi="GHEA Grapalat" w:cs="Arial"/>
        </w:rPr>
      </w:pPr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lastRenderedPageBreak/>
        <w:t xml:space="preserve">1. 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Կոնվենցիայի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>
        <w:rPr>
          <w:rStyle w:val="PageNumber"/>
          <w:rFonts w:ascii="GHEA Grapalat" w:hAnsi="GHEA Grapalat" w:cs="Arial"/>
          <w:color w:val="000000"/>
          <w:shd w:val="clear" w:color="auto" w:fill="FFFFFF"/>
          <w:lang w:val="fr-FR"/>
        </w:rPr>
        <w:t>և տ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վյալ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  <w:lang w:val="fr-FR"/>
        </w:rPr>
        <w:t xml:space="preserve"> ո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լորտում</w:t>
      </w:r>
      <w:proofErr w:type="spellEnd"/>
      <w:r>
        <w:rPr>
          <w:rStyle w:val="PageNumber"/>
          <w:rFonts w:ascii="GHEA Grapalat" w:hAnsi="GHEA Grapalat" w:cs="Arial"/>
          <w:color w:val="000000"/>
          <w:shd w:val="clear" w:color="auto" w:fill="FFFFFF"/>
          <w:lang w:val="fr-FR"/>
        </w:rPr>
        <w:t xml:space="preserve"> գ</w:t>
      </w:r>
      <w:proofErr w:type="spellStart"/>
      <w:r>
        <w:rPr>
          <w:rStyle w:val="PageNumber"/>
          <w:rFonts w:ascii="GHEA Grapalat" w:hAnsi="GHEA Grapalat" w:cs="Arial"/>
          <w:color w:val="000000"/>
          <w:shd w:val="clear" w:color="auto" w:fill="FFFFFF"/>
        </w:rPr>
        <w:t>ործող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lang w:val="fr-FR"/>
        </w:rPr>
        <w:t>միջազգային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lang w:val="fr-FR"/>
        </w:rPr>
        <w:t>ստանդարտների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lang w:val="fr-FR"/>
        </w:rPr>
        <w:t>համաձայն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` </w:t>
      </w:r>
      <w:proofErr w:type="spellStart"/>
      <w:r>
        <w:rPr>
          <w:rStyle w:val="PageNumber"/>
          <w:rFonts w:ascii="GHEA Grapalat" w:hAnsi="GHEA Grapalat" w:cs="Arial"/>
          <w:lang w:val="fr-FR"/>
        </w:rPr>
        <w:t>երեխաների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lang w:val="fr-FR"/>
        </w:rPr>
        <w:t>նկատմամբ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lang w:val="fr-FR"/>
        </w:rPr>
        <w:t>բոլոր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lang w:val="fr-FR"/>
        </w:rPr>
        <w:t>գործողությունները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lang w:val="fr-FR"/>
        </w:rPr>
        <w:t>ձեռնարկել</w:t>
      </w:r>
      <w:proofErr w:type="spellEnd"/>
      <w:r>
        <w:rPr>
          <w:rStyle w:val="PageNumber"/>
          <w:rFonts w:ascii="GHEA Grapalat" w:hAnsi="GHEA Grapalat" w:cs="Arial"/>
          <w:lang w:val="hy-AM"/>
        </w:rPr>
        <w:t>իս առաջնահ</w:t>
      </w:r>
      <w:proofErr w:type="spellStart"/>
      <w:r>
        <w:rPr>
          <w:rStyle w:val="PageNumber"/>
          <w:rFonts w:ascii="GHEA Grapalat" w:hAnsi="GHEA Grapalat" w:cs="Arial"/>
          <w:lang w:val="fr-FR"/>
        </w:rPr>
        <w:t>երթ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r>
        <w:rPr>
          <w:rStyle w:val="PageNumber"/>
          <w:rFonts w:ascii="GHEA Grapalat" w:hAnsi="GHEA Grapalat" w:cs="Arial"/>
          <w:lang w:val="hy-AM"/>
        </w:rPr>
        <w:t>ուշադրություն պետք է դարձվի «</w:t>
      </w:r>
      <w:r>
        <w:rPr>
          <w:rStyle w:val="PageNumber"/>
          <w:rFonts w:ascii="GHEA Grapalat" w:hAnsi="GHEA Grapalat" w:cs="Arial"/>
          <w:i/>
          <w:lang w:val="hy-AM"/>
        </w:rPr>
        <w:t>երեխայի լ</w:t>
      </w:r>
      <w:proofErr w:type="spellStart"/>
      <w:r>
        <w:rPr>
          <w:rStyle w:val="PageNumber"/>
          <w:rFonts w:ascii="GHEA Grapalat" w:hAnsi="GHEA Grapalat" w:cs="Arial"/>
          <w:i/>
          <w:lang w:val="fr-FR"/>
        </w:rPr>
        <w:t>ավա</w:t>
      </w:r>
      <w:proofErr w:type="spellEnd"/>
      <w:r>
        <w:rPr>
          <w:rStyle w:val="PageNumber"/>
          <w:rFonts w:ascii="GHEA Grapalat" w:hAnsi="GHEA Grapalat" w:cs="Arial"/>
          <w:i/>
          <w:lang w:val="hy-AM"/>
        </w:rPr>
        <w:t>գույ</w:t>
      </w:r>
      <w:r>
        <w:rPr>
          <w:rStyle w:val="PageNumber"/>
          <w:rFonts w:ascii="GHEA Grapalat" w:hAnsi="GHEA Grapalat" w:cs="Arial"/>
          <w:i/>
          <w:lang w:val="fr-FR"/>
        </w:rPr>
        <w:t xml:space="preserve">ն </w:t>
      </w:r>
      <w:r>
        <w:rPr>
          <w:rStyle w:val="PageNumber"/>
          <w:rFonts w:ascii="GHEA Grapalat" w:hAnsi="GHEA Grapalat" w:cs="Arial"/>
          <w:i/>
          <w:lang w:val="hy-AM"/>
        </w:rPr>
        <w:t>շահերին</w:t>
      </w:r>
      <w:r>
        <w:rPr>
          <w:rStyle w:val="PageNumber"/>
          <w:rFonts w:ascii="GHEA Grapalat" w:hAnsi="GHEA Grapalat" w:cs="Arial"/>
          <w:i/>
          <w:lang w:val="fr-FR"/>
        </w:rPr>
        <w:t>»</w:t>
      </w:r>
      <w:r>
        <w:rPr>
          <w:rStyle w:val="PageNumber"/>
          <w:rFonts w:ascii="GHEA Grapalat" w:hAnsi="GHEA Grapalat" w:cs="Arial"/>
          <w:lang w:val="fr-FR"/>
        </w:rPr>
        <w:t>:</w:t>
      </w:r>
      <w:r>
        <w:rPr>
          <w:rStyle w:val="PageNumber"/>
          <w:rFonts w:ascii="GHEA Grapalat" w:hAnsi="GHEA Grapalat" w:cs="Arial"/>
          <w:lang w:val="hy-AM"/>
        </w:rPr>
        <w:t xml:space="preserve"> Կոնվեն</w:t>
      </w:r>
      <w:proofErr w:type="spellStart"/>
      <w:r>
        <w:rPr>
          <w:rStyle w:val="PageNumber"/>
          <w:rFonts w:ascii="GHEA Grapalat" w:hAnsi="GHEA Grapalat" w:cs="Arial"/>
        </w:rPr>
        <w:t>ցիայով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ամրա</w:t>
      </w:r>
      <w:r>
        <w:rPr>
          <w:rStyle w:val="PageNumber"/>
          <w:rFonts w:ascii="GHEA Grapalat" w:hAnsi="GHEA Grapalat" w:cs="Arial"/>
          <w:lang w:val="fr-FR"/>
        </w:rPr>
        <w:t>գր</w:t>
      </w:r>
      <w:r>
        <w:rPr>
          <w:rStyle w:val="PageNumber"/>
          <w:rFonts w:ascii="GHEA Grapalat" w:hAnsi="GHEA Grapalat" w:cs="Arial"/>
        </w:rPr>
        <w:t>ված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երեխա</w:t>
      </w:r>
      <w:r>
        <w:rPr>
          <w:rStyle w:val="PageNumber"/>
          <w:rFonts w:ascii="GHEA Grapalat" w:hAnsi="GHEA Grapalat" w:cs="Arial"/>
          <w:lang w:val="fr-FR"/>
        </w:rPr>
        <w:t>յի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լավա</w:t>
      </w:r>
      <w:r>
        <w:rPr>
          <w:rStyle w:val="PageNumber"/>
          <w:rFonts w:ascii="GHEA Grapalat" w:hAnsi="GHEA Grapalat" w:cs="Arial"/>
          <w:lang w:val="fr-FR"/>
        </w:rPr>
        <w:t>գո</w:t>
      </w:r>
      <w:proofErr w:type="spellEnd"/>
      <w:r>
        <w:rPr>
          <w:rStyle w:val="PageNumber"/>
          <w:rFonts w:ascii="GHEA Grapalat" w:hAnsi="GHEA Grapalat" w:cs="Arial"/>
          <w:lang w:val="hy-AM"/>
        </w:rPr>
        <w:t>ւյն շահ</w:t>
      </w:r>
      <w:r>
        <w:rPr>
          <w:rStyle w:val="PageNumber"/>
          <w:rFonts w:ascii="GHEA Grapalat" w:hAnsi="GHEA Grapalat" w:cs="Arial"/>
          <w:lang w:val="fr-FR"/>
        </w:rPr>
        <w:t xml:space="preserve">ի </w:t>
      </w:r>
      <w:proofErr w:type="spellStart"/>
      <w:r>
        <w:rPr>
          <w:rStyle w:val="PageNumber"/>
          <w:rFonts w:ascii="GHEA Grapalat" w:hAnsi="GHEA Grapalat" w:cs="Arial"/>
        </w:rPr>
        <w:t>վերաբերյ</w:t>
      </w:r>
      <w:r>
        <w:rPr>
          <w:rStyle w:val="PageNumber"/>
          <w:rFonts w:ascii="GHEA Grapalat" w:hAnsi="GHEA Grapalat" w:cs="Arial"/>
          <w:lang w:val="fr-FR"/>
        </w:rPr>
        <w:t>ալ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Երեխայի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իրավունքների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կոմիտեի</w:t>
      </w:r>
      <w:proofErr w:type="spellEnd"/>
      <w:r>
        <w:rPr>
          <w:rStyle w:val="PageNumber"/>
          <w:rFonts w:ascii="GHEA Grapalat" w:hAnsi="GHEA Grapalat" w:cs="Arial"/>
        </w:rPr>
        <w:t xml:space="preserve"> (</w:t>
      </w:r>
      <w:proofErr w:type="spellStart"/>
      <w:r>
        <w:rPr>
          <w:rStyle w:val="PageNumber"/>
          <w:rFonts w:ascii="GHEA Grapalat" w:hAnsi="GHEA Grapalat" w:cs="Arial"/>
        </w:rPr>
        <w:t>այսուհետ</w:t>
      </w:r>
      <w:proofErr w:type="spellEnd"/>
      <w:r>
        <w:rPr>
          <w:rStyle w:val="PageNumber"/>
          <w:rFonts w:ascii="GHEA Grapalat" w:hAnsi="GHEA Grapalat" w:cs="Arial"/>
        </w:rPr>
        <w:t xml:space="preserve">՝ </w:t>
      </w:r>
      <w:proofErr w:type="spellStart"/>
      <w:r>
        <w:rPr>
          <w:rStyle w:val="PageNumber"/>
          <w:rFonts w:ascii="GHEA Grapalat" w:hAnsi="GHEA Grapalat" w:cs="Arial"/>
        </w:rPr>
        <w:t>Կոմիտե</w:t>
      </w:r>
      <w:proofErr w:type="spellEnd"/>
      <w:r>
        <w:rPr>
          <w:rStyle w:val="PageNumber"/>
          <w:rFonts w:ascii="GHEA Grapalat" w:hAnsi="GHEA Grapalat" w:cs="Arial"/>
        </w:rPr>
        <w:t xml:space="preserve">) </w:t>
      </w:r>
      <w:r>
        <w:rPr>
          <w:rStyle w:val="PageNumber"/>
          <w:rFonts w:ascii="GHEA Grapalat" w:hAnsi="GHEA Grapalat" w:cs="Arial"/>
          <w:lang w:val="hy-AM"/>
        </w:rPr>
        <w:t xml:space="preserve">թիվ 14 Ընդհանուր մեկնաբանության (2013) </w:t>
      </w:r>
      <w:r>
        <w:rPr>
          <w:rStyle w:val="PageNumber"/>
          <w:rFonts w:ascii="GHEA Grapalat" w:hAnsi="GHEA Grapalat" w:cs="Arial"/>
        </w:rPr>
        <w:t xml:space="preserve">43-րդ </w:t>
      </w:r>
      <w:proofErr w:type="spellStart"/>
      <w:r>
        <w:rPr>
          <w:rStyle w:val="PageNumber"/>
          <w:rFonts w:ascii="GHEA Grapalat" w:hAnsi="GHEA Grapalat" w:cs="Arial"/>
        </w:rPr>
        <w:t>պարբերության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r>
        <w:rPr>
          <w:rStyle w:val="PageNumber"/>
          <w:rFonts w:ascii="GHEA Grapalat" w:hAnsi="GHEA Grapalat" w:cs="Arial"/>
          <w:lang w:val="hy-AM"/>
        </w:rPr>
        <w:t>համաձայն` երեխայի լավագույն շահերի հաշվ</w:t>
      </w:r>
      <w:r>
        <w:rPr>
          <w:rStyle w:val="PageNumber"/>
          <w:rFonts w:ascii="GHEA Grapalat" w:hAnsi="GHEA Grapalat" w:cs="Arial"/>
          <w:lang w:val="fr-FR"/>
        </w:rPr>
        <w:t xml:space="preserve">ի </w:t>
      </w:r>
      <w:proofErr w:type="spellStart"/>
      <w:r>
        <w:rPr>
          <w:rStyle w:val="PageNumber"/>
          <w:rFonts w:ascii="GHEA Grapalat" w:hAnsi="GHEA Grapalat" w:cs="Arial"/>
        </w:rPr>
        <w:t>առնելը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ենթադրում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r>
        <w:rPr>
          <w:rStyle w:val="PageNumber"/>
          <w:rFonts w:ascii="GHEA Grapalat" w:hAnsi="GHEA Grapalat" w:cs="Arial"/>
        </w:rPr>
        <w:t>է</w:t>
      </w:r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երեխայի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` </w:t>
      </w:r>
      <w:proofErr w:type="spellStart"/>
      <w:r>
        <w:rPr>
          <w:rStyle w:val="PageNumber"/>
          <w:rFonts w:ascii="GHEA Grapalat" w:hAnsi="GHEA Grapalat" w:cs="Arial"/>
        </w:rPr>
        <w:t>սեփական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կարծիքներն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ազատորեն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արտահայտելու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իրավունքի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ապահովումը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, </w:t>
      </w:r>
      <w:proofErr w:type="spellStart"/>
      <w:r>
        <w:rPr>
          <w:rStyle w:val="PageNumber"/>
          <w:rFonts w:ascii="GHEA Grapalat" w:hAnsi="GHEA Grapalat" w:cs="Arial"/>
        </w:rPr>
        <w:t>ընդ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որում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` </w:t>
      </w:r>
      <w:proofErr w:type="spellStart"/>
      <w:r>
        <w:rPr>
          <w:rStyle w:val="PageNumber"/>
          <w:rFonts w:ascii="GHEA Grapalat" w:hAnsi="GHEA Grapalat" w:cs="Arial"/>
        </w:rPr>
        <w:t>երեխային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վերաբերող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բոլոր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հարցերում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պատշաճ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ուշադրություն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պետք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r>
        <w:rPr>
          <w:rStyle w:val="PageNumber"/>
          <w:rFonts w:ascii="GHEA Grapalat" w:hAnsi="GHEA Grapalat" w:cs="Arial"/>
        </w:rPr>
        <w:t>է</w:t>
      </w:r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դարձվի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իր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արտահայտած</w:t>
      </w:r>
      <w:proofErr w:type="spellEnd"/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տեսակետներին</w:t>
      </w:r>
      <w:proofErr w:type="spellEnd"/>
      <w:r>
        <w:rPr>
          <w:rStyle w:val="PageNumber"/>
          <w:rFonts w:ascii="GHEA Grapalat" w:hAnsi="GHEA Grapalat" w:cs="Arial"/>
          <w:lang w:val="fr-FR"/>
        </w:rPr>
        <w:t>:</w:t>
      </w:r>
      <w:r>
        <w:rPr>
          <w:rStyle w:val="FootnoteReference"/>
          <w:rFonts w:ascii="GHEA Grapalat" w:eastAsia="Tahoma" w:hAnsi="GHEA Grapalat" w:cs="Arial"/>
          <w:lang w:val="fr-FR"/>
        </w:rPr>
        <w:footnoteReference w:id="1"/>
      </w:r>
      <w:r>
        <w:rPr>
          <w:rStyle w:val="PageNumber"/>
          <w:rFonts w:ascii="GHEA Grapalat" w:hAnsi="GHEA Grapalat" w:cs="Arial"/>
          <w:lang w:val="fr-FR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Ավելին</w:t>
      </w:r>
      <w:proofErr w:type="spellEnd"/>
      <w:r>
        <w:rPr>
          <w:rStyle w:val="PageNumber"/>
          <w:rFonts w:ascii="GHEA Grapalat" w:hAnsi="GHEA Grapalat" w:cs="Arial"/>
        </w:rPr>
        <w:t xml:space="preserve">, </w:t>
      </w:r>
      <w:proofErr w:type="spellStart"/>
      <w:r>
        <w:rPr>
          <w:rStyle w:val="PageNumber"/>
          <w:rFonts w:ascii="GHEA Grapalat" w:hAnsi="GHEA Grapalat" w:cs="Arial"/>
        </w:rPr>
        <w:t>Կոմիտեի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r>
        <w:rPr>
          <w:rStyle w:val="PageNumber"/>
          <w:rFonts w:ascii="GHEA Grapalat" w:hAnsi="GHEA Grapalat" w:cs="Arial"/>
          <w:lang w:val="hy-AM"/>
        </w:rPr>
        <w:t>թիվ 1</w:t>
      </w:r>
      <w:r>
        <w:rPr>
          <w:rStyle w:val="PageNumber"/>
          <w:rFonts w:ascii="GHEA Grapalat" w:hAnsi="GHEA Grapalat" w:cs="Arial"/>
        </w:rPr>
        <w:t>2 (2009)</w:t>
      </w:r>
      <w:r>
        <w:rPr>
          <w:rStyle w:val="PageNumber"/>
          <w:rFonts w:ascii="GHEA Grapalat" w:hAnsi="GHEA Grapalat" w:cs="Arial"/>
          <w:lang w:val="hy-AM"/>
        </w:rPr>
        <w:t xml:space="preserve"> Ընդհանուր մեկնաբանության</w:t>
      </w:r>
      <w:r>
        <w:rPr>
          <w:rStyle w:val="FootnoteReference"/>
          <w:rFonts w:ascii="GHEA Grapalat" w:eastAsia="Tahoma" w:hAnsi="GHEA Grapalat" w:cs="Arial"/>
        </w:rPr>
        <w:footnoteReference w:id="2"/>
      </w:r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համաձայն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երեխայի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լսվելու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իրավունքը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տարածվում</w:t>
      </w:r>
      <w:proofErr w:type="spellEnd"/>
      <w:r>
        <w:rPr>
          <w:rStyle w:val="PageNumber"/>
          <w:rFonts w:ascii="GHEA Grapalat" w:hAnsi="GHEA Grapalat" w:cs="Arial"/>
        </w:rPr>
        <w:t xml:space="preserve"> է </w:t>
      </w:r>
      <w:proofErr w:type="spellStart"/>
      <w:r>
        <w:rPr>
          <w:rStyle w:val="PageNumber"/>
          <w:rFonts w:ascii="GHEA Grapalat" w:hAnsi="GHEA Grapalat" w:cs="Arial"/>
        </w:rPr>
        <w:t>երեխայի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վրա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ազդող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բոլոր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դատական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կամ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վարչական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վարույթներին</w:t>
      </w:r>
      <w:proofErr w:type="spellEnd"/>
      <w:r>
        <w:rPr>
          <w:rStyle w:val="PageNumber"/>
          <w:rFonts w:ascii="GHEA Grapalat" w:hAnsi="GHEA Grapalat" w:cs="Arial"/>
        </w:rPr>
        <w:t xml:space="preserve">, </w:t>
      </w:r>
      <w:proofErr w:type="spellStart"/>
      <w:r>
        <w:rPr>
          <w:rStyle w:val="PageNumber"/>
          <w:rFonts w:ascii="GHEA Grapalat" w:hAnsi="GHEA Grapalat" w:cs="Arial"/>
        </w:rPr>
        <w:t>այդ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թվում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հոգեբանական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կամ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ֆիզիկակա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բռնության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դեպքերի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քննությանը</w:t>
      </w:r>
      <w:proofErr w:type="spellEnd"/>
      <w:r>
        <w:rPr>
          <w:rStyle w:val="PageNumber"/>
          <w:rFonts w:ascii="GHEA Grapalat" w:hAnsi="GHEA Grapalat" w:cs="Arial"/>
        </w:rPr>
        <w:t xml:space="preserve"> և </w:t>
      </w:r>
      <w:proofErr w:type="spellStart"/>
      <w:r>
        <w:rPr>
          <w:rStyle w:val="PageNumber"/>
          <w:rFonts w:ascii="GHEA Grapalat" w:hAnsi="GHEA Grapalat" w:cs="Arial"/>
        </w:rPr>
        <w:t>այլն</w:t>
      </w:r>
      <w:proofErr w:type="spellEnd"/>
      <w:r>
        <w:rPr>
          <w:rStyle w:val="PageNumber"/>
          <w:rFonts w:ascii="GHEA Grapalat" w:hAnsi="GHEA Grapalat" w:cs="Arial"/>
        </w:rPr>
        <w:t xml:space="preserve">: </w:t>
      </w:r>
      <w:proofErr w:type="spellStart"/>
      <w:r>
        <w:rPr>
          <w:rStyle w:val="PageNumber"/>
          <w:rFonts w:ascii="GHEA Grapalat" w:hAnsi="GHEA Grapalat" w:cs="Arial"/>
        </w:rPr>
        <w:t>Ընդ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որում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կարծիք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արտահայտելը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երեխայի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իրավունքն</w:t>
      </w:r>
      <w:proofErr w:type="spellEnd"/>
      <w:r>
        <w:rPr>
          <w:rStyle w:val="PageNumber"/>
          <w:rFonts w:ascii="GHEA Grapalat" w:hAnsi="GHEA Grapalat" w:cs="Arial"/>
        </w:rPr>
        <w:t xml:space="preserve"> է և </w:t>
      </w:r>
      <w:proofErr w:type="spellStart"/>
      <w:r>
        <w:rPr>
          <w:rStyle w:val="PageNumber"/>
          <w:rFonts w:ascii="GHEA Grapalat" w:hAnsi="GHEA Grapalat" w:cs="Arial"/>
        </w:rPr>
        <w:t>ոչ</w:t>
      </w:r>
      <w:proofErr w:type="spellEnd"/>
      <w:r>
        <w:rPr>
          <w:rStyle w:val="PageNumber"/>
          <w:rFonts w:ascii="GHEA Grapalat" w:hAnsi="GHEA Grapalat" w:cs="Arial"/>
        </w:rPr>
        <w:t xml:space="preserve">՝ </w:t>
      </w:r>
      <w:proofErr w:type="spellStart"/>
      <w:r>
        <w:rPr>
          <w:rStyle w:val="PageNumber"/>
          <w:rFonts w:ascii="GHEA Grapalat" w:hAnsi="GHEA Grapalat" w:cs="Arial"/>
        </w:rPr>
        <w:t>պարտականությունը</w:t>
      </w:r>
      <w:proofErr w:type="spellEnd"/>
      <w:r>
        <w:rPr>
          <w:rStyle w:val="PageNumber"/>
          <w:rFonts w:ascii="GHEA Grapalat" w:hAnsi="GHEA Grapalat" w:cs="Arial"/>
        </w:rPr>
        <w:t xml:space="preserve">: </w:t>
      </w:r>
      <w:proofErr w:type="spellStart"/>
      <w:r>
        <w:rPr>
          <w:rStyle w:val="PageNumber"/>
          <w:rFonts w:ascii="GHEA Grapalat" w:hAnsi="GHEA Grapalat" w:cs="Arial"/>
        </w:rPr>
        <w:t>Ավելին</w:t>
      </w:r>
      <w:proofErr w:type="spellEnd"/>
      <w:r>
        <w:rPr>
          <w:rStyle w:val="PageNumber"/>
          <w:rFonts w:ascii="GHEA Grapalat" w:hAnsi="GHEA Grapalat" w:cs="Arial"/>
        </w:rPr>
        <w:t xml:space="preserve">, </w:t>
      </w:r>
      <w:proofErr w:type="spellStart"/>
      <w:r>
        <w:rPr>
          <w:rStyle w:val="PageNumber"/>
          <w:rFonts w:ascii="GHEA Grapalat" w:hAnsi="GHEA Grapalat" w:cs="Arial"/>
        </w:rPr>
        <w:t>Կոմիտեն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խորհուրդ</w:t>
      </w:r>
      <w:proofErr w:type="spellEnd"/>
      <w:r>
        <w:rPr>
          <w:rStyle w:val="PageNumber"/>
          <w:rFonts w:ascii="GHEA Grapalat" w:hAnsi="GHEA Grapalat" w:cs="Arial"/>
        </w:rPr>
        <w:t xml:space="preserve"> է </w:t>
      </w:r>
      <w:proofErr w:type="spellStart"/>
      <w:r>
        <w:rPr>
          <w:rStyle w:val="PageNumber"/>
          <w:rFonts w:ascii="GHEA Grapalat" w:hAnsi="GHEA Grapalat" w:cs="Arial"/>
        </w:rPr>
        <w:t>տալիս</w:t>
      </w:r>
      <w:proofErr w:type="spellEnd"/>
      <w:r>
        <w:rPr>
          <w:rStyle w:val="PageNumber"/>
          <w:rFonts w:ascii="GHEA Grapalat" w:hAnsi="GHEA Grapalat" w:cs="Arial"/>
        </w:rPr>
        <w:t xml:space="preserve">, </w:t>
      </w:r>
      <w:proofErr w:type="spellStart"/>
      <w:r>
        <w:rPr>
          <w:rStyle w:val="PageNumber"/>
          <w:rFonts w:ascii="GHEA Grapalat" w:hAnsi="GHEA Grapalat" w:cs="Arial"/>
        </w:rPr>
        <w:t>որպեսզի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հնարավորության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դեպքում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ապահովվի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երեխայի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անմիջականորեն</w:t>
      </w:r>
      <w:proofErr w:type="spellEnd"/>
      <w:r>
        <w:rPr>
          <w:rStyle w:val="PageNumber"/>
          <w:rFonts w:ascii="GHEA Grapalat" w:hAnsi="GHEA Grapalat" w:cs="Arial"/>
        </w:rPr>
        <w:t xml:space="preserve"> (</w:t>
      </w:r>
      <w:proofErr w:type="spellStart"/>
      <w:r>
        <w:rPr>
          <w:rStyle w:val="PageNumber"/>
          <w:rFonts w:ascii="GHEA Grapalat" w:hAnsi="GHEA Grapalat" w:cs="Arial"/>
        </w:rPr>
        <w:t>առանց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ներկայացուցչի</w:t>
      </w:r>
      <w:proofErr w:type="spellEnd"/>
      <w:r>
        <w:rPr>
          <w:rStyle w:val="PageNumber"/>
          <w:rFonts w:ascii="GHEA Grapalat" w:hAnsi="GHEA Grapalat" w:cs="Arial"/>
        </w:rPr>
        <w:t xml:space="preserve">) </w:t>
      </w:r>
      <w:proofErr w:type="spellStart"/>
      <w:r>
        <w:rPr>
          <w:rStyle w:val="PageNumber"/>
          <w:rFonts w:ascii="GHEA Grapalat" w:hAnsi="GHEA Grapalat" w:cs="Arial"/>
        </w:rPr>
        <w:t>լսվելու</w:t>
      </w:r>
      <w:proofErr w:type="spellEnd"/>
      <w:r>
        <w:rPr>
          <w:rStyle w:val="PageNumber"/>
          <w:rFonts w:ascii="GHEA Grapalat" w:hAnsi="GHEA Grapalat" w:cs="Arial"/>
        </w:rPr>
        <w:t xml:space="preserve"> </w:t>
      </w:r>
      <w:proofErr w:type="spellStart"/>
      <w:r>
        <w:rPr>
          <w:rStyle w:val="PageNumber"/>
          <w:rFonts w:ascii="GHEA Grapalat" w:hAnsi="GHEA Grapalat" w:cs="Arial"/>
        </w:rPr>
        <w:t>հնարավորությունը</w:t>
      </w:r>
      <w:proofErr w:type="spellEnd"/>
      <w:r>
        <w:rPr>
          <w:rStyle w:val="PageNumber"/>
          <w:rFonts w:ascii="GHEA Grapalat" w:hAnsi="GHEA Grapalat" w:cs="Arial"/>
        </w:rPr>
        <w:t>:</w:t>
      </w:r>
    </w:p>
    <w:p w:rsidR="00A008B0" w:rsidRDefault="00A008B0" w:rsidP="00A008B0">
      <w:pPr>
        <w:pStyle w:val="NormalWeb"/>
        <w:spacing w:before="0" w:beforeAutospacing="0" w:after="0" w:afterAutospacing="0" w:line="276" w:lineRule="auto"/>
        <w:ind w:firstLine="720"/>
        <w:jc w:val="both"/>
      </w:pPr>
    </w:p>
    <w:p w:rsidR="00A008B0" w:rsidRDefault="00A008B0" w:rsidP="00A008B0">
      <w:pPr>
        <w:spacing w:line="276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2. </w:t>
      </w:r>
      <w:proofErr w:type="spellStart"/>
      <w:r>
        <w:rPr>
          <w:rFonts w:ascii="GHEA Grapalat" w:hAnsi="GHEA Grapalat"/>
        </w:rPr>
        <w:t>Միաժամանակ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անհրաժեշտ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հաշվի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առնել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որ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միջազգային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շարք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փաստաթղթերի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ուսումնասիրությունը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ցույց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տալիս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որ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երեխայի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կարծիքը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հաշվի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առնելը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ընտանեկան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բռնության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դեպքերում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պետք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ունենա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առանձնահատուկ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երաշխիքներ</w:t>
      </w:r>
      <w:proofErr w:type="spellEnd"/>
      <w:r>
        <w:rPr>
          <w:rFonts w:ascii="GHEA Grapalat" w:hAnsi="GHEA Grapalat"/>
        </w:rPr>
        <w:t xml:space="preserve">: </w:t>
      </w:r>
      <w:proofErr w:type="spellStart"/>
      <w:r>
        <w:rPr>
          <w:rFonts w:ascii="GHEA Grapalat" w:hAnsi="GHEA Grapalat"/>
        </w:rPr>
        <w:t>Մասնավորապես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մի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շարք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միջազգային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վկայակոչում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ընտանեկան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բռնության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դեպքերում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երեխայի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կարիծքը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հաշվի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առնելու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անհրաժեշտությունը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ընդգծելով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որ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հաշտության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հիմքով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գործի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կարճումն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անթույլատրելի</w:t>
      </w:r>
      <w:proofErr w:type="spellEnd"/>
      <w:r>
        <w:rPr>
          <w:rFonts w:ascii="GHEA Grapalat" w:hAnsi="GHEA Grapalat"/>
        </w:rPr>
        <w:t xml:space="preserve"> է: </w:t>
      </w:r>
      <w:proofErr w:type="spellStart"/>
      <w:r>
        <w:rPr>
          <w:rFonts w:ascii="GHEA Grapalat" w:hAnsi="GHEA Grapalat"/>
        </w:rPr>
        <w:t>Այստեղ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հաշվի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առնվում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ընտանեկան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բռնության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դեպքում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տուժողի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այդ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թվում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նաև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երեխա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տուժողի</w:t>
      </w:r>
      <w:proofErr w:type="spellEnd"/>
      <w:r>
        <w:rPr>
          <w:rFonts w:ascii="GHEA Grapalat" w:hAnsi="GHEA Grapalat"/>
        </w:rPr>
        <w:t xml:space="preserve">) </w:t>
      </w:r>
      <w:proofErr w:type="spellStart"/>
      <w:r>
        <w:rPr>
          <w:rFonts w:ascii="GHEA Grapalat" w:hAnsi="GHEA Grapalat"/>
        </w:rPr>
        <w:t>խոցելիությունը</w:t>
      </w:r>
      <w:proofErr w:type="spellEnd"/>
      <w:r>
        <w:rPr>
          <w:rFonts w:ascii="GHEA Grapalat" w:hAnsi="GHEA Grapalat"/>
        </w:rPr>
        <w:t xml:space="preserve"> և </w:t>
      </w:r>
      <w:proofErr w:type="spellStart"/>
      <w:r>
        <w:rPr>
          <w:rFonts w:ascii="GHEA Grapalat" w:hAnsi="GHEA Grapalat"/>
        </w:rPr>
        <w:t>ճնշման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տակ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հաշտության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գալու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հավանականությունը</w:t>
      </w:r>
      <w:proofErr w:type="spellEnd"/>
      <w:r>
        <w:rPr>
          <w:rFonts w:ascii="GHEA Grapalat" w:hAnsi="GHEA Grapalat"/>
        </w:rPr>
        <w:t>:</w:t>
      </w:r>
    </w:p>
    <w:p w:rsidR="00A008B0" w:rsidRDefault="00A008B0" w:rsidP="00A008B0">
      <w:pPr>
        <w:spacing w:line="276" w:lineRule="auto"/>
        <w:ind w:firstLine="72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 w:cs="Sylfaen"/>
        </w:rPr>
        <w:t>Այսպես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Ընտանեկան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բռնությունից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պաշտպանության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մասին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Ղրղզստանի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Հանրապետության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օրենքի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նախագծի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վերաբերյալ</w:t>
      </w:r>
      <w:proofErr w:type="spellEnd"/>
      <w:r>
        <w:rPr>
          <w:rFonts w:ascii="GHEA Grapalat" w:hAnsi="GHEA Grapalat" w:cs="Sylfaen"/>
        </w:rPr>
        <w:t xml:space="preserve"> 2014 </w:t>
      </w:r>
      <w:proofErr w:type="spellStart"/>
      <w:r>
        <w:rPr>
          <w:rFonts w:ascii="GHEA Grapalat" w:hAnsi="GHEA Grapalat" w:cs="Sylfaen"/>
        </w:rPr>
        <w:t>թվականի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հոկտեմբերի</w:t>
      </w:r>
      <w:proofErr w:type="spellEnd"/>
      <w:r>
        <w:rPr>
          <w:rFonts w:ascii="GHEA Grapalat" w:hAnsi="GHEA Grapalat" w:cs="Sylfaen"/>
        </w:rPr>
        <w:t xml:space="preserve"> 28-ին ԵԱՀԿ </w:t>
      </w:r>
      <w:proofErr w:type="spellStart"/>
      <w:r>
        <w:rPr>
          <w:rFonts w:ascii="GHEA Grapalat" w:hAnsi="GHEA Grapalat" w:cs="Sylfaen"/>
        </w:rPr>
        <w:t>Ժողովրդավարական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հաստատությունների</w:t>
      </w:r>
      <w:proofErr w:type="spellEnd"/>
      <w:r>
        <w:rPr>
          <w:rFonts w:ascii="GHEA Grapalat" w:hAnsi="GHEA Grapalat" w:cs="Sylfaen"/>
        </w:rPr>
        <w:t xml:space="preserve"> և </w:t>
      </w:r>
      <w:proofErr w:type="spellStart"/>
      <w:r>
        <w:rPr>
          <w:rFonts w:ascii="GHEA Grapalat" w:hAnsi="GHEA Grapalat" w:cs="Sylfaen"/>
        </w:rPr>
        <w:t>մարդու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իրավունքների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գրասենյակի</w:t>
      </w:r>
      <w:proofErr w:type="spellEnd"/>
      <w:r>
        <w:rPr>
          <w:rFonts w:ascii="GHEA Grapalat" w:hAnsi="GHEA Grapalat" w:cs="Sylfaen"/>
        </w:rPr>
        <w:t xml:space="preserve"> (</w:t>
      </w:r>
      <w:proofErr w:type="spellStart"/>
      <w:r>
        <w:rPr>
          <w:rStyle w:val="PageNumber"/>
          <w:rFonts w:ascii="GHEA Grapalat" w:hAnsi="GHEA Grapalat" w:cs="Arial"/>
        </w:rPr>
        <w:t>այսուհետ</w:t>
      </w:r>
      <w:proofErr w:type="spellEnd"/>
      <w:r>
        <w:rPr>
          <w:rStyle w:val="PageNumber"/>
          <w:rFonts w:ascii="GHEA Grapalat" w:hAnsi="GHEA Grapalat" w:cs="Arial"/>
        </w:rPr>
        <w:t xml:space="preserve">՝ </w:t>
      </w:r>
      <w:r>
        <w:rPr>
          <w:rFonts w:ascii="GHEA Grapalat" w:hAnsi="GHEA Grapalat" w:cs="Sylfaen"/>
        </w:rPr>
        <w:t xml:space="preserve">ԵԱՀԿ ԺՀՄԻԳ) </w:t>
      </w:r>
      <w:proofErr w:type="spellStart"/>
      <w:r>
        <w:rPr>
          <w:rFonts w:ascii="GHEA Grapalat" w:hAnsi="GHEA Grapalat" w:cs="Sylfaen"/>
        </w:rPr>
        <w:t>ներկայացրած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կարծիքի</w:t>
      </w:r>
      <w:proofErr w:type="spellEnd"/>
      <w:r>
        <w:rPr>
          <w:rFonts w:ascii="GHEA Grapalat" w:hAnsi="GHEA Grapalat"/>
          <w:vertAlign w:val="superscript"/>
        </w:rPr>
        <w:footnoteReference w:id="3"/>
      </w:r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համաձայն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երեխայի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լսվելու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իրավունքը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հատուկ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նշանակություն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ունի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ընտանեկան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բռնության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դեպքերում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քանի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որ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խաղում</w:t>
      </w:r>
      <w:proofErr w:type="spellEnd"/>
      <w:r>
        <w:rPr>
          <w:rFonts w:ascii="GHEA Grapalat" w:hAnsi="GHEA Grapalat" w:cs="Sylfaen"/>
        </w:rPr>
        <w:t xml:space="preserve"> է </w:t>
      </w:r>
      <w:proofErr w:type="spellStart"/>
      <w:r>
        <w:rPr>
          <w:rFonts w:ascii="GHEA Grapalat" w:hAnsi="GHEA Grapalat" w:cs="Sylfaen"/>
        </w:rPr>
        <w:t>կանխարգելիչ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դեր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ընտանեկան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բռնության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բոլոր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տեսակների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համար</w:t>
      </w:r>
      <w:proofErr w:type="spellEnd"/>
      <w:r>
        <w:rPr>
          <w:rFonts w:ascii="GHEA Grapalat" w:hAnsi="GHEA Grapalat" w:cs="Sylfaen"/>
        </w:rPr>
        <w:t xml:space="preserve">: </w:t>
      </w:r>
      <w:proofErr w:type="spellStart"/>
      <w:r>
        <w:rPr>
          <w:rFonts w:ascii="GHEA Grapalat" w:hAnsi="GHEA Grapalat" w:cs="Sylfaen"/>
        </w:rPr>
        <w:t>Ուստի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հատկապես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կարևոր</w:t>
      </w:r>
      <w:proofErr w:type="spellEnd"/>
      <w:r>
        <w:rPr>
          <w:rFonts w:ascii="GHEA Grapalat" w:hAnsi="GHEA Grapalat" w:cs="Sylfaen"/>
        </w:rPr>
        <w:t xml:space="preserve"> է </w:t>
      </w:r>
      <w:proofErr w:type="spellStart"/>
      <w:r>
        <w:rPr>
          <w:rFonts w:ascii="GHEA Grapalat" w:hAnsi="GHEA Grapalat" w:cs="Sylfaen"/>
        </w:rPr>
        <w:t>ապահովել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երեխայի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իր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կարծիքն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արտահայտելու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իրավունքի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իրացումը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իրեն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վերաբերող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որոշումներում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ինչպես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այն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ամրագրված</w:t>
      </w:r>
      <w:proofErr w:type="spellEnd"/>
      <w:r>
        <w:rPr>
          <w:rFonts w:ascii="GHEA Grapalat" w:hAnsi="GHEA Grapalat" w:cs="Sylfaen"/>
        </w:rPr>
        <w:t xml:space="preserve"> է </w:t>
      </w:r>
      <w:proofErr w:type="spellStart"/>
      <w:r>
        <w:rPr>
          <w:rFonts w:ascii="GHEA Grapalat" w:hAnsi="GHEA Grapalat" w:cs="Sylfaen"/>
        </w:rPr>
        <w:t>Կոնվենցիայի</w:t>
      </w:r>
      <w:proofErr w:type="spellEnd"/>
      <w:r>
        <w:rPr>
          <w:rFonts w:ascii="GHEA Grapalat" w:hAnsi="GHEA Grapalat" w:cs="Sylfaen"/>
        </w:rPr>
        <w:t xml:space="preserve"> 12-րդ </w:t>
      </w:r>
      <w:proofErr w:type="spellStart"/>
      <w:r>
        <w:rPr>
          <w:rFonts w:ascii="GHEA Grapalat" w:hAnsi="GHEA Grapalat" w:cs="Sylfaen"/>
        </w:rPr>
        <w:lastRenderedPageBreak/>
        <w:t>հոդվածով</w:t>
      </w:r>
      <w:proofErr w:type="spellEnd"/>
      <w:r>
        <w:rPr>
          <w:rFonts w:ascii="GHEA Grapalat" w:hAnsi="GHEA Grapalat" w:cs="Sylfaen"/>
        </w:rPr>
        <w:t xml:space="preserve">: </w:t>
      </w:r>
      <w:proofErr w:type="spellStart"/>
      <w:r>
        <w:rPr>
          <w:rFonts w:ascii="GHEA Grapalat" w:hAnsi="GHEA Grapalat" w:cs="Sylfaen"/>
        </w:rPr>
        <w:t>Նույն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դիրքորոշումն</w:t>
      </w:r>
      <w:proofErr w:type="spellEnd"/>
      <w:r>
        <w:rPr>
          <w:rFonts w:ascii="GHEA Grapalat" w:hAnsi="GHEA Grapalat" w:cs="Sylfaen"/>
        </w:rPr>
        <w:t xml:space="preserve"> է </w:t>
      </w:r>
      <w:proofErr w:type="spellStart"/>
      <w:r>
        <w:rPr>
          <w:rFonts w:ascii="GHEA Grapalat" w:hAnsi="GHEA Grapalat" w:cs="Sylfaen"/>
        </w:rPr>
        <w:t>արտահայտվել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նաև</w:t>
      </w:r>
      <w:proofErr w:type="spellEnd"/>
      <w:r>
        <w:rPr>
          <w:rFonts w:ascii="GHEA Grapalat" w:hAnsi="GHEA Grapalat" w:cs="Sylfaen"/>
        </w:rPr>
        <w:t xml:space="preserve"> 2015 </w:t>
      </w:r>
      <w:proofErr w:type="spellStart"/>
      <w:r>
        <w:rPr>
          <w:rFonts w:ascii="GHEA Grapalat" w:hAnsi="GHEA Grapalat" w:cs="Sylfaen"/>
        </w:rPr>
        <w:t>թվականի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հունիսի</w:t>
      </w:r>
      <w:proofErr w:type="spellEnd"/>
      <w:r>
        <w:rPr>
          <w:rFonts w:ascii="GHEA Grapalat" w:hAnsi="GHEA Grapalat" w:cs="Sylfaen"/>
        </w:rPr>
        <w:t xml:space="preserve"> 9-ին</w:t>
      </w:r>
      <w:r>
        <w:rPr>
          <w:rStyle w:val="FootnoteReference"/>
          <w:rFonts w:ascii="GHEA Grapalat" w:eastAsia="Tahoma" w:hAnsi="GHEA Grapalat" w:cs="Sylfaen"/>
        </w:rPr>
        <w:footnoteReference w:id="4"/>
      </w:r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Ղրղզստանի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Հանրապետության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քրեական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դատավարության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օրենքսգքրի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նախագծի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վերբերյալ</w:t>
      </w:r>
      <w:proofErr w:type="spellEnd"/>
      <w:r>
        <w:rPr>
          <w:rFonts w:ascii="GHEA Grapalat" w:hAnsi="GHEA Grapalat" w:cs="Sylfaen"/>
        </w:rPr>
        <w:t xml:space="preserve"> ԵԱՀԿ ԺՀՄԻԳ </w:t>
      </w:r>
      <w:proofErr w:type="spellStart"/>
      <w:r>
        <w:rPr>
          <w:rFonts w:ascii="GHEA Grapalat" w:hAnsi="GHEA Grapalat" w:cs="Sylfaen"/>
        </w:rPr>
        <w:t>ներկայացրած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կարծիքում</w:t>
      </w:r>
      <w:proofErr w:type="spellEnd"/>
      <w:r>
        <w:rPr>
          <w:rFonts w:ascii="GHEA Grapalat" w:hAnsi="GHEA Grapalat" w:cs="Sylfaen"/>
        </w:rPr>
        <w:t xml:space="preserve">: </w:t>
      </w:r>
    </w:p>
    <w:p w:rsidR="00A008B0" w:rsidRDefault="00A008B0" w:rsidP="00A008B0">
      <w:pPr>
        <w:spacing w:line="276" w:lineRule="auto"/>
        <w:ind w:firstLine="72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 w:cs="Sylfaen"/>
        </w:rPr>
        <w:t>Միաժամանակ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Մոլդովայում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ընտանեկան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բռնության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դեմ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պայքարի</w:t>
      </w:r>
      <w:proofErr w:type="spellEnd"/>
      <w:r>
        <w:rPr>
          <w:rFonts w:ascii="GHEA Grapalat" w:hAnsi="GHEA Grapalat" w:cs="Sylfaen"/>
        </w:rPr>
        <w:t xml:space="preserve"> և </w:t>
      </w:r>
      <w:proofErr w:type="spellStart"/>
      <w:r>
        <w:rPr>
          <w:rFonts w:ascii="GHEA Grapalat" w:hAnsi="GHEA Grapalat" w:cs="Sylfaen"/>
        </w:rPr>
        <w:t>կանխարգելման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իրավական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դաշտի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փոփոխության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վերաբերյալ</w:t>
      </w:r>
      <w:proofErr w:type="spellEnd"/>
      <w:r>
        <w:rPr>
          <w:rFonts w:ascii="GHEA Grapalat" w:hAnsi="GHEA Grapalat" w:cs="Sylfaen"/>
        </w:rPr>
        <w:t xml:space="preserve"> ԵԱՀԿ ԺՀՄԻԳ 2015 </w:t>
      </w:r>
      <w:proofErr w:type="spellStart"/>
      <w:r>
        <w:rPr>
          <w:rFonts w:ascii="GHEA Grapalat" w:hAnsi="GHEA Grapalat" w:cs="Sylfaen"/>
        </w:rPr>
        <w:t>թվականի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հուլսի</w:t>
      </w:r>
      <w:proofErr w:type="spellEnd"/>
      <w:r>
        <w:rPr>
          <w:rFonts w:ascii="GHEA Grapalat" w:hAnsi="GHEA Grapalat" w:cs="Sylfaen"/>
        </w:rPr>
        <w:t xml:space="preserve"> 9-ի </w:t>
      </w:r>
      <w:proofErr w:type="spellStart"/>
      <w:r>
        <w:rPr>
          <w:rFonts w:ascii="GHEA Grapalat" w:hAnsi="GHEA Grapalat" w:cs="Sylfaen"/>
        </w:rPr>
        <w:t>կարծիքում</w:t>
      </w:r>
      <w:proofErr w:type="spellEnd"/>
      <w:r>
        <w:rPr>
          <w:rFonts w:ascii="GHEA Grapalat" w:hAnsi="GHEA Grapalat" w:cs="Sylfaen"/>
          <w:vertAlign w:val="superscript"/>
        </w:rPr>
        <w:footnoteReference w:id="5"/>
      </w:r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ողջունվում</w:t>
      </w:r>
      <w:proofErr w:type="spellEnd"/>
      <w:r>
        <w:rPr>
          <w:rFonts w:ascii="GHEA Grapalat" w:hAnsi="GHEA Grapalat" w:cs="Sylfaen"/>
        </w:rPr>
        <w:t xml:space="preserve"> է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այն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որ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ուժը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կորցրած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ճանաչվել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դրույթը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որը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թույլ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էր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տալիս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ընտանեկան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բռնության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դեպքերում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հաշտվելու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որն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էլ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հերթին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հանգեցնում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էր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քրեական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հետապնդման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քրեական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վարույթի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դադարեցման</w:t>
      </w:r>
      <w:proofErr w:type="spellEnd"/>
      <w:r>
        <w:rPr>
          <w:rFonts w:ascii="GHEA Grapalat" w:hAnsi="GHEA Grapalat"/>
        </w:rPr>
        <w:t>/</w:t>
      </w:r>
      <w:proofErr w:type="spellStart"/>
      <w:r>
        <w:rPr>
          <w:rFonts w:ascii="GHEA Grapalat" w:hAnsi="GHEA Grapalat"/>
        </w:rPr>
        <w:t>կարճման</w:t>
      </w:r>
      <w:proofErr w:type="spellEnd"/>
      <w:r>
        <w:rPr>
          <w:rFonts w:ascii="GHEA Grapalat" w:hAnsi="GHEA Grapalat"/>
        </w:rPr>
        <w:t xml:space="preserve">: </w:t>
      </w:r>
      <w:proofErr w:type="spellStart"/>
      <w:r>
        <w:rPr>
          <w:rFonts w:ascii="GHEA Grapalat" w:hAnsi="GHEA Grapalat"/>
        </w:rPr>
        <w:t>Ավելին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նշվում</w:t>
      </w:r>
      <w:proofErr w:type="spellEnd"/>
      <w:r>
        <w:rPr>
          <w:rFonts w:ascii="GHEA Grapalat" w:hAnsi="GHEA Grapalat"/>
        </w:rPr>
        <w:t xml:space="preserve"> է, </w:t>
      </w:r>
      <w:proofErr w:type="spellStart"/>
      <w:r>
        <w:rPr>
          <w:rFonts w:ascii="GHEA Grapalat" w:hAnsi="GHEA Grapalat"/>
        </w:rPr>
        <w:t>որ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հաշվի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առնելով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այն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վտանգը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որ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ընտանեկան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բռնության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դեպքում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այս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ընթացակարգը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կարող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պարտադրվել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տուժողին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պարզապես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չի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լինի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հաշտությանը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վախենալով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մեղադրյալից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խորհուրդ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տրվում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բացառել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հաշտությունը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ընտանեկան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բռնության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բոլոր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դեպքերում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այն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դեպքերում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երբ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բռնությունը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կատարվել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տուժողի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ընտանիքի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անդամի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կողմից</w:t>
      </w:r>
      <w:proofErr w:type="spellEnd"/>
      <w:r>
        <w:rPr>
          <w:rFonts w:ascii="GHEA Grapalat" w:hAnsi="GHEA Grapalat"/>
        </w:rPr>
        <w:t>:</w:t>
      </w:r>
    </w:p>
    <w:p w:rsidR="00A008B0" w:rsidRDefault="00A008B0" w:rsidP="00A008B0">
      <w:pPr>
        <w:spacing w:line="276" w:lineRule="auto"/>
        <w:ind w:firstLine="720"/>
        <w:jc w:val="both"/>
        <w:rPr>
          <w:rStyle w:val="PageNumber"/>
          <w:rFonts w:cs="Arial"/>
          <w:bCs/>
        </w:rPr>
      </w:pPr>
      <w:proofErr w:type="spellStart"/>
      <w:r>
        <w:rPr>
          <w:rStyle w:val="PageNumber"/>
          <w:rFonts w:ascii="GHEA Grapalat" w:hAnsi="GHEA Grapalat" w:cs="Arial"/>
          <w:bCs/>
        </w:rPr>
        <w:t>Ավելին</w:t>
      </w:r>
      <w:proofErr w:type="spellEnd"/>
      <w:r>
        <w:rPr>
          <w:rStyle w:val="PageNumber"/>
          <w:rFonts w:ascii="GHEA Grapalat" w:hAnsi="GHEA Grapalat" w:cs="Arial"/>
          <w:bCs/>
        </w:rPr>
        <w:t>, «</w:t>
      </w:r>
      <w:proofErr w:type="spellStart"/>
      <w:r>
        <w:rPr>
          <w:rStyle w:val="PageNumber"/>
          <w:rFonts w:ascii="GHEA Grapalat" w:hAnsi="GHEA Grapalat" w:cs="Arial"/>
          <w:bCs/>
        </w:rPr>
        <w:t>Կանանց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նկատմամբ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բռնության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և </w:t>
      </w:r>
      <w:proofErr w:type="spellStart"/>
      <w:r>
        <w:rPr>
          <w:rStyle w:val="PageNumber"/>
          <w:rFonts w:ascii="GHEA Grapalat" w:hAnsi="GHEA Grapalat" w:cs="Arial"/>
          <w:bCs/>
        </w:rPr>
        <w:t>ընտանեկան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բռնության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կանխարգելման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և </w:t>
      </w:r>
      <w:proofErr w:type="spellStart"/>
      <w:r>
        <w:rPr>
          <w:rStyle w:val="PageNumber"/>
          <w:rFonts w:ascii="GHEA Grapalat" w:hAnsi="GHEA Grapalat" w:cs="Arial"/>
          <w:bCs/>
        </w:rPr>
        <w:t>դրա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դեմ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պայքարի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մասին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» </w:t>
      </w:r>
      <w:proofErr w:type="spellStart"/>
      <w:r>
        <w:rPr>
          <w:rStyle w:val="PageNumber"/>
          <w:rFonts w:ascii="GHEA Grapalat" w:hAnsi="GHEA Grapalat" w:cs="Arial"/>
          <w:bCs/>
        </w:rPr>
        <w:t>Եվրոպայի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խորհրդի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կոնվենցիայի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(</w:t>
      </w:r>
      <w:proofErr w:type="spellStart"/>
      <w:r>
        <w:rPr>
          <w:rStyle w:val="PageNumber"/>
          <w:rFonts w:ascii="GHEA Grapalat" w:hAnsi="GHEA Grapalat" w:cs="Arial"/>
        </w:rPr>
        <w:t>այսուհետ</w:t>
      </w:r>
      <w:proofErr w:type="spellEnd"/>
      <w:r>
        <w:rPr>
          <w:rStyle w:val="PageNumber"/>
          <w:rFonts w:ascii="GHEA Grapalat" w:hAnsi="GHEA Grapalat" w:cs="Arial"/>
        </w:rPr>
        <w:t xml:space="preserve">՝ </w:t>
      </w:r>
      <w:proofErr w:type="spellStart"/>
      <w:r>
        <w:rPr>
          <w:rStyle w:val="PageNumber"/>
          <w:rFonts w:ascii="GHEA Grapalat" w:hAnsi="GHEA Grapalat" w:cs="Arial"/>
          <w:bCs/>
        </w:rPr>
        <w:t>Ստամբուլի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կոնվենցիա</w:t>
      </w:r>
      <w:proofErr w:type="spellEnd"/>
      <w:r>
        <w:rPr>
          <w:rStyle w:val="PageNumber"/>
          <w:rFonts w:ascii="GHEA Grapalat" w:hAnsi="GHEA Grapalat" w:cs="Arial"/>
          <w:bCs/>
        </w:rPr>
        <w:t>) (</w:t>
      </w:r>
      <w:proofErr w:type="spellStart"/>
      <w:r>
        <w:rPr>
          <w:rStyle w:val="PageNumber"/>
          <w:rFonts w:ascii="GHEA Grapalat" w:hAnsi="GHEA Grapalat" w:cs="Arial"/>
          <w:bCs/>
        </w:rPr>
        <w:t>որն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ըստ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ԵՄ </w:t>
      </w:r>
      <w:proofErr w:type="spellStart"/>
      <w:r>
        <w:rPr>
          <w:rStyle w:val="PageNumber"/>
          <w:rFonts w:ascii="GHEA Grapalat" w:hAnsi="GHEA Grapalat" w:cs="Arial"/>
          <w:bCs/>
        </w:rPr>
        <w:t>բյուջետային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աջակցման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ծրագրի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Հայաստանի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կողմից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պետք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է </w:t>
      </w:r>
      <w:proofErr w:type="spellStart"/>
      <w:r>
        <w:rPr>
          <w:rStyle w:val="PageNumber"/>
          <w:rFonts w:ascii="GHEA Grapalat" w:hAnsi="GHEA Grapalat" w:cs="Arial"/>
          <w:bCs/>
        </w:rPr>
        <w:t>ստորագրվի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2017 </w:t>
      </w:r>
      <w:proofErr w:type="spellStart"/>
      <w:r>
        <w:rPr>
          <w:rStyle w:val="PageNumber"/>
          <w:rFonts w:ascii="GHEA Grapalat" w:hAnsi="GHEA Grapalat" w:cs="Arial"/>
          <w:bCs/>
        </w:rPr>
        <w:t>թվականին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) 48-րդ </w:t>
      </w:r>
      <w:proofErr w:type="spellStart"/>
      <w:r>
        <w:rPr>
          <w:rStyle w:val="PageNumber"/>
          <w:rFonts w:ascii="GHEA Grapalat" w:hAnsi="GHEA Grapalat" w:cs="Arial"/>
          <w:bCs/>
        </w:rPr>
        <w:t>հոդվածի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համաձայն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անդամ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պետությունները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պետք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է </w:t>
      </w:r>
      <w:proofErr w:type="spellStart"/>
      <w:r>
        <w:rPr>
          <w:rStyle w:val="PageNumber"/>
          <w:rFonts w:ascii="GHEA Grapalat" w:hAnsi="GHEA Grapalat" w:cs="Arial"/>
          <w:bCs/>
        </w:rPr>
        <w:t>օրենսդրական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և </w:t>
      </w:r>
      <w:proofErr w:type="spellStart"/>
      <w:r>
        <w:rPr>
          <w:rStyle w:val="PageNumber"/>
          <w:rFonts w:ascii="GHEA Grapalat" w:hAnsi="GHEA Grapalat" w:cs="Arial"/>
          <w:bCs/>
        </w:rPr>
        <w:t>այլ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միջոցներով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ապահովեն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, </w:t>
      </w:r>
      <w:proofErr w:type="spellStart"/>
      <w:r>
        <w:rPr>
          <w:rStyle w:val="PageNumber"/>
          <w:rFonts w:ascii="GHEA Grapalat" w:hAnsi="GHEA Grapalat" w:cs="Arial"/>
          <w:bCs/>
        </w:rPr>
        <w:t>որպեսզի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բացառվի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վեճի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պարտադիր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այլընտրանքային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տարբերակով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լուծումը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, </w:t>
      </w:r>
      <w:proofErr w:type="spellStart"/>
      <w:r>
        <w:rPr>
          <w:rStyle w:val="PageNumber"/>
          <w:rFonts w:ascii="GHEA Grapalat" w:hAnsi="GHEA Grapalat" w:cs="Arial"/>
          <w:bCs/>
        </w:rPr>
        <w:t>ներառյալ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մեդիացիան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և </w:t>
      </w:r>
      <w:proofErr w:type="spellStart"/>
      <w:r>
        <w:rPr>
          <w:rStyle w:val="PageNumber"/>
          <w:rFonts w:ascii="GHEA Grapalat" w:hAnsi="GHEA Grapalat" w:cs="Arial"/>
          <w:bCs/>
        </w:rPr>
        <w:t>հաշտությունը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, </w:t>
      </w:r>
      <w:proofErr w:type="spellStart"/>
      <w:r>
        <w:rPr>
          <w:rStyle w:val="PageNumber"/>
          <w:rFonts w:ascii="GHEA Grapalat" w:hAnsi="GHEA Grapalat" w:cs="Arial"/>
          <w:bCs/>
        </w:rPr>
        <w:t>կոնվենցիային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համապատասխան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բռնության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բոլոր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տեսակների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դեպքում</w:t>
      </w:r>
      <w:proofErr w:type="spellEnd"/>
      <w:r>
        <w:rPr>
          <w:rStyle w:val="PageNumber"/>
          <w:rFonts w:ascii="GHEA Grapalat" w:hAnsi="GHEA Grapalat" w:cs="Arial"/>
          <w:bCs/>
        </w:rPr>
        <w:t>:</w:t>
      </w:r>
    </w:p>
    <w:p w:rsidR="00A008B0" w:rsidRDefault="00A008B0" w:rsidP="00A008B0">
      <w:pPr>
        <w:spacing w:line="276" w:lineRule="auto"/>
        <w:ind w:firstLine="720"/>
        <w:jc w:val="both"/>
      </w:pPr>
      <w:proofErr w:type="spellStart"/>
      <w:r>
        <w:rPr>
          <w:rStyle w:val="PageNumber"/>
          <w:rFonts w:ascii="GHEA Grapalat" w:hAnsi="GHEA Grapalat" w:cs="Arial"/>
          <w:bCs/>
        </w:rPr>
        <w:t>Ստացվում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է, </w:t>
      </w:r>
      <w:proofErr w:type="spellStart"/>
      <w:r>
        <w:rPr>
          <w:rStyle w:val="PageNumber"/>
          <w:rFonts w:ascii="GHEA Grapalat" w:hAnsi="GHEA Grapalat" w:cs="Arial"/>
          <w:bCs/>
        </w:rPr>
        <w:t>որ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ընտանեկան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բռնության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դեպքում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երեխայի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կարծիքը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պետք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է </w:t>
      </w:r>
      <w:proofErr w:type="spellStart"/>
      <w:r>
        <w:rPr>
          <w:rStyle w:val="PageNumber"/>
          <w:rFonts w:ascii="GHEA Grapalat" w:hAnsi="GHEA Grapalat" w:cs="Arial"/>
          <w:bCs/>
        </w:rPr>
        <w:t>հաշվի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առնել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վերջինիս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տարիքին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և </w:t>
      </w:r>
      <w:proofErr w:type="spellStart"/>
      <w:r>
        <w:rPr>
          <w:rStyle w:val="PageNumber"/>
          <w:rFonts w:ascii="GHEA Grapalat" w:hAnsi="GHEA Grapalat" w:cs="Arial"/>
          <w:bCs/>
        </w:rPr>
        <w:t>հասունությանը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համապատասխան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, </w:t>
      </w:r>
      <w:proofErr w:type="spellStart"/>
      <w:r>
        <w:rPr>
          <w:rStyle w:val="PageNumber"/>
          <w:rFonts w:ascii="GHEA Grapalat" w:hAnsi="GHEA Grapalat" w:cs="Arial"/>
          <w:bCs/>
        </w:rPr>
        <w:t>որի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արդյունքում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, </w:t>
      </w:r>
      <w:proofErr w:type="spellStart"/>
      <w:r>
        <w:rPr>
          <w:rStyle w:val="PageNumber"/>
          <w:rFonts w:ascii="GHEA Grapalat" w:hAnsi="GHEA Grapalat" w:cs="Arial"/>
          <w:bCs/>
        </w:rPr>
        <w:t>սակայն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չի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կարող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կնքվել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հաշտություն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, </w:t>
      </w:r>
      <w:proofErr w:type="spellStart"/>
      <w:r>
        <w:rPr>
          <w:rStyle w:val="PageNumber"/>
          <w:rFonts w:ascii="GHEA Grapalat" w:hAnsi="GHEA Grapalat" w:cs="Arial"/>
          <w:bCs/>
        </w:rPr>
        <w:t>որը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հիմք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կհանդիսանա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քրեական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գործի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կարճման</w:t>
      </w:r>
      <w:proofErr w:type="spellEnd"/>
      <w:r>
        <w:rPr>
          <w:rStyle w:val="PageNumber"/>
          <w:rFonts w:ascii="GHEA Grapalat" w:hAnsi="GHEA Grapalat" w:cs="Arial"/>
          <w:bCs/>
        </w:rPr>
        <w:t xml:space="preserve"> </w:t>
      </w:r>
      <w:proofErr w:type="spellStart"/>
      <w:r>
        <w:rPr>
          <w:rStyle w:val="PageNumber"/>
          <w:rFonts w:ascii="GHEA Grapalat" w:hAnsi="GHEA Grapalat" w:cs="Arial"/>
          <w:bCs/>
        </w:rPr>
        <w:t>համար</w:t>
      </w:r>
      <w:proofErr w:type="spellEnd"/>
      <w:r>
        <w:rPr>
          <w:rStyle w:val="PageNumber"/>
          <w:rFonts w:ascii="GHEA Grapalat" w:hAnsi="GHEA Grapalat" w:cs="Arial"/>
          <w:bCs/>
        </w:rPr>
        <w:t>:</w:t>
      </w:r>
    </w:p>
    <w:p w:rsidR="008C1750" w:rsidRDefault="008C1750"/>
    <w:sectPr w:rsidR="008C1750" w:rsidSect="00A008B0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AF1" w:rsidRDefault="009F7AF1" w:rsidP="00A008B0">
      <w:r>
        <w:separator/>
      </w:r>
    </w:p>
  </w:endnote>
  <w:endnote w:type="continuationSeparator" w:id="0">
    <w:p w:rsidR="009F7AF1" w:rsidRDefault="009F7AF1" w:rsidP="00A00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AF1" w:rsidRDefault="009F7AF1" w:rsidP="00A008B0">
      <w:r>
        <w:separator/>
      </w:r>
    </w:p>
  </w:footnote>
  <w:footnote w:type="continuationSeparator" w:id="0">
    <w:p w:rsidR="009F7AF1" w:rsidRDefault="009F7AF1" w:rsidP="00A008B0">
      <w:r>
        <w:continuationSeparator/>
      </w:r>
    </w:p>
  </w:footnote>
  <w:footnote w:id="1">
    <w:p w:rsidR="00A008B0" w:rsidRDefault="00A008B0" w:rsidP="00A008B0">
      <w:pPr>
        <w:pStyle w:val="FootnoteText"/>
        <w:rPr>
          <w:rFonts w:ascii="GHEA Grapalat" w:hAnsi="GHEA Grapalat"/>
        </w:rPr>
      </w:pPr>
      <w:r>
        <w:rPr>
          <w:rStyle w:val="FootnoteReference"/>
          <w:rFonts w:ascii="GHEA Grapalat" w:hAnsi="GHEA Grapalat"/>
        </w:rPr>
        <w:footnoteRef/>
      </w:r>
      <w:r>
        <w:rPr>
          <w:rFonts w:ascii="GHEA Grapalat" w:hAnsi="GHEA Grapalat"/>
        </w:rPr>
        <w:t xml:space="preserve"> </w:t>
      </w:r>
      <w:hyperlink r:id="rId1" w:history="1">
        <w:r>
          <w:rPr>
            <w:rStyle w:val="Hyperlink"/>
            <w:rFonts w:ascii="GHEA Grapalat" w:hAnsi="GHEA Grapalat"/>
          </w:rPr>
          <w:t>http://www2.ohchr.org/English/bodies/crc/docs/GC/CRC_C_GC_14_ENG.pdf</w:t>
        </w:r>
      </w:hyperlink>
      <w:r>
        <w:rPr>
          <w:rFonts w:ascii="GHEA Grapalat" w:hAnsi="GHEA Grapalat"/>
        </w:rPr>
        <w:t xml:space="preserve"> </w:t>
      </w:r>
    </w:p>
  </w:footnote>
  <w:footnote w:id="2">
    <w:p w:rsidR="00A008B0" w:rsidRDefault="00A008B0" w:rsidP="00A008B0">
      <w:pPr>
        <w:pStyle w:val="FootnoteText"/>
        <w:rPr>
          <w:rFonts w:ascii="GHEA Grapalat" w:hAnsi="GHEA Grapalat"/>
        </w:rPr>
      </w:pPr>
      <w:r>
        <w:rPr>
          <w:rStyle w:val="FootnoteReference"/>
          <w:rFonts w:ascii="GHEA Grapalat" w:hAnsi="GHEA Grapalat"/>
        </w:rPr>
        <w:footnoteRef/>
      </w:r>
      <w:r>
        <w:rPr>
          <w:rFonts w:ascii="GHEA Grapalat" w:hAnsi="GHEA Grapalat"/>
        </w:rPr>
        <w:t xml:space="preserve"> </w:t>
      </w:r>
      <w:hyperlink r:id="rId2" w:history="1">
        <w:r>
          <w:rPr>
            <w:rStyle w:val="Hyperlink"/>
            <w:rFonts w:ascii="GHEA Grapalat" w:hAnsi="GHEA Grapalat"/>
          </w:rPr>
          <w:t>http://www2.ohchr.org/english/bodies/crc/docs/AdvanceVersions/CRC-C-GC-12.pdf</w:t>
        </w:r>
      </w:hyperlink>
      <w:r>
        <w:rPr>
          <w:rFonts w:ascii="GHEA Grapalat" w:hAnsi="GHEA Grapalat"/>
        </w:rPr>
        <w:t xml:space="preserve"> </w:t>
      </w:r>
    </w:p>
  </w:footnote>
  <w:footnote w:id="3">
    <w:p w:rsidR="00A008B0" w:rsidRDefault="00A008B0" w:rsidP="00A008B0">
      <w:pPr>
        <w:pStyle w:val="FootnoteText"/>
        <w:rPr>
          <w:rFonts w:ascii="GHEA Grapalat" w:hAnsi="GHEA Grapalat"/>
        </w:rPr>
      </w:pPr>
      <w:r>
        <w:rPr>
          <w:rStyle w:val="FootnoteReference"/>
          <w:rFonts w:ascii="GHEA Grapalat" w:hAnsi="GHEA Grapalat"/>
        </w:rPr>
        <w:footnoteRef/>
      </w:r>
      <w:r>
        <w:rPr>
          <w:rFonts w:ascii="GHEA Grapalat" w:hAnsi="GHEA Grapalat"/>
        </w:rPr>
        <w:t xml:space="preserve"> </w:t>
      </w:r>
      <w:hyperlink r:id="rId3" w:history="1">
        <w:r>
          <w:rPr>
            <w:rStyle w:val="Hyperlink"/>
            <w:rFonts w:ascii="GHEA Grapalat" w:hAnsi="GHEA Grapalat"/>
          </w:rPr>
          <w:t>http://www.osce.org/odihr/126692</w:t>
        </w:r>
      </w:hyperlink>
      <w:r>
        <w:rPr>
          <w:rFonts w:ascii="GHEA Grapalat" w:hAnsi="GHEA Grapalat"/>
        </w:rPr>
        <w:t xml:space="preserve">, 3.2 </w:t>
      </w:r>
      <w:proofErr w:type="spellStart"/>
      <w:r>
        <w:rPr>
          <w:rFonts w:ascii="GHEA Grapalat" w:hAnsi="GHEA Grapalat" w:cs="Sylfaen"/>
        </w:rPr>
        <w:t>մաս</w:t>
      </w:r>
      <w:proofErr w:type="spellEnd"/>
      <w:r>
        <w:rPr>
          <w:rFonts w:ascii="GHEA Grapalat" w:hAnsi="GHEA Grapalat" w:cs="Sylfaen"/>
        </w:rPr>
        <w:t>,</w:t>
      </w:r>
      <w:r>
        <w:rPr>
          <w:rFonts w:ascii="GHEA Grapalat" w:hAnsi="GHEA Grapalat"/>
        </w:rPr>
        <w:t xml:space="preserve"> 51-</w:t>
      </w:r>
      <w:r>
        <w:rPr>
          <w:rFonts w:ascii="GHEA Grapalat" w:hAnsi="GHEA Grapalat" w:cs="Sylfaen"/>
        </w:rPr>
        <w:t>րդ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պարբերություն</w:t>
      </w:r>
      <w:proofErr w:type="spellEnd"/>
      <w:r>
        <w:rPr>
          <w:rFonts w:ascii="GHEA Grapalat" w:hAnsi="GHEA Grapalat"/>
        </w:rPr>
        <w:t xml:space="preserve"> </w:t>
      </w:r>
    </w:p>
  </w:footnote>
  <w:footnote w:id="4">
    <w:p w:rsidR="00A008B0" w:rsidRDefault="00A008B0" w:rsidP="00A008B0">
      <w:pPr>
        <w:pStyle w:val="FootnoteText"/>
        <w:rPr>
          <w:rFonts w:ascii="GHEA Grapalat" w:hAnsi="GHEA Grapalat"/>
        </w:rPr>
      </w:pPr>
      <w:r>
        <w:rPr>
          <w:rStyle w:val="FootnoteReference"/>
          <w:rFonts w:ascii="GHEA Grapalat" w:hAnsi="GHEA Grapalat"/>
        </w:rPr>
        <w:footnoteRef/>
      </w:r>
      <w:r>
        <w:rPr>
          <w:rFonts w:ascii="GHEA Grapalat" w:hAnsi="GHEA Grapalat"/>
        </w:rPr>
        <w:t xml:space="preserve"> Opinion-</w:t>
      </w:r>
      <w:proofErr w:type="spellStart"/>
      <w:r>
        <w:rPr>
          <w:rFonts w:ascii="GHEA Grapalat" w:hAnsi="GHEA Grapalat"/>
        </w:rPr>
        <w:t>Nr.:CRIM</w:t>
      </w:r>
      <w:proofErr w:type="spellEnd"/>
      <w:r>
        <w:rPr>
          <w:rFonts w:ascii="GHEA Grapalat" w:hAnsi="GHEA Grapalat"/>
        </w:rPr>
        <w:t>-KYRG/270/2015 [</w:t>
      </w:r>
      <w:proofErr w:type="spellStart"/>
      <w:r>
        <w:rPr>
          <w:rFonts w:ascii="GHEA Grapalat" w:hAnsi="GHEA Grapalat"/>
        </w:rPr>
        <w:t>AlC</w:t>
      </w:r>
      <w:proofErr w:type="spellEnd"/>
      <w:r>
        <w:rPr>
          <w:rFonts w:ascii="GHEA Grapalat" w:hAnsi="GHEA Grapalat"/>
        </w:rPr>
        <w:t>], 4.3-</w:t>
      </w:r>
      <w:r>
        <w:rPr>
          <w:rFonts w:ascii="GHEA Grapalat" w:hAnsi="GHEA Grapalat" w:cs="Sylfaen"/>
        </w:rPr>
        <w:t>րդ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մաս</w:t>
      </w:r>
      <w:proofErr w:type="spellEnd"/>
      <w:r>
        <w:rPr>
          <w:rFonts w:ascii="GHEA Grapalat" w:hAnsi="GHEA Grapalat" w:cs="Sylfaen"/>
        </w:rPr>
        <w:t>,</w:t>
      </w:r>
      <w:r>
        <w:rPr>
          <w:rFonts w:ascii="GHEA Grapalat" w:hAnsi="GHEA Grapalat"/>
        </w:rPr>
        <w:t xml:space="preserve"> 87-</w:t>
      </w:r>
      <w:r>
        <w:rPr>
          <w:rFonts w:ascii="GHEA Grapalat" w:hAnsi="GHEA Grapalat" w:cs="Sylfaen"/>
        </w:rPr>
        <w:t>րդ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պարբերություն</w:t>
      </w:r>
      <w:proofErr w:type="spellEnd"/>
    </w:p>
  </w:footnote>
  <w:footnote w:id="5">
    <w:p w:rsidR="00A008B0" w:rsidRDefault="00A008B0" w:rsidP="00A008B0">
      <w:pPr>
        <w:pStyle w:val="FootnoteText"/>
        <w:rPr>
          <w:rFonts w:ascii="GHEA Grapalat" w:hAnsi="GHEA Grapalat"/>
        </w:rPr>
      </w:pPr>
      <w:r>
        <w:rPr>
          <w:rStyle w:val="FootnoteReference"/>
          <w:rFonts w:ascii="GHEA Grapalat" w:hAnsi="GHEA Grapalat"/>
        </w:rPr>
        <w:footnoteRef/>
      </w:r>
      <w:r>
        <w:rPr>
          <w:rFonts w:ascii="GHEA Grapalat" w:hAnsi="GHEA Grapalat"/>
        </w:rPr>
        <w:t xml:space="preserve"> </w:t>
      </w:r>
      <w:hyperlink r:id="rId4" w:history="1">
        <w:r>
          <w:rPr>
            <w:rStyle w:val="Hyperlink"/>
            <w:rFonts w:ascii="GHEA Grapalat" w:hAnsi="GHEA Grapalat"/>
          </w:rPr>
          <w:t>http://www.osce.org/odihr/174536</w:t>
        </w:r>
      </w:hyperlink>
      <w:r>
        <w:rPr>
          <w:rFonts w:ascii="GHEA Grapalat" w:hAnsi="GHEA Grapalat"/>
        </w:rPr>
        <w:t xml:space="preserve">, 5.2 </w:t>
      </w:r>
      <w:proofErr w:type="spellStart"/>
      <w:r>
        <w:rPr>
          <w:rFonts w:ascii="GHEA Grapalat" w:hAnsi="GHEA Grapalat" w:cs="Sylfaen"/>
        </w:rPr>
        <w:t>կետ</w:t>
      </w:r>
      <w:proofErr w:type="spellEnd"/>
      <w:r>
        <w:rPr>
          <w:rFonts w:ascii="GHEA Grapalat" w:hAnsi="GHEA Grapalat"/>
        </w:rPr>
        <w:t>, 61-</w:t>
      </w:r>
      <w:r>
        <w:rPr>
          <w:rFonts w:ascii="GHEA Grapalat" w:hAnsi="GHEA Grapalat" w:cs="Sylfaen"/>
        </w:rPr>
        <w:t>րդ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պարբերություն</w:t>
      </w:r>
      <w:proofErr w:type="spell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8B0"/>
    <w:rsid w:val="00155D98"/>
    <w:rsid w:val="00295839"/>
    <w:rsid w:val="008C1750"/>
    <w:rsid w:val="00994F3C"/>
    <w:rsid w:val="009F7AF1"/>
    <w:rsid w:val="00A008B0"/>
    <w:rsid w:val="00B105B4"/>
    <w:rsid w:val="00BE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08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08B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08B0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8B0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008B0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A008B0"/>
    <w:rPr>
      <w:vertAlign w:val="superscript"/>
    </w:rPr>
  </w:style>
  <w:style w:type="character" w:styleId="PageNumber">
    <w:name w:val="page number"/>
    <w:basedOn w:val="DefaultParagraphFont"/>
    <w:semiHidden/>
    <w:unhideWhenUsed/>
    <w:rsid w:val="00A00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ce.org/odihr/126692" TargetMode="External"/><Relationship Id="rId2" Type="http://schemas.openxmlformats.org/officeDocument/2006/relationships/hyperlink" Target="http://www2.ohchr.org/english/bodies/crc/docs/AdvanceVersions/CRC-C-GC-12.pdf" TargetMode="External"/><Relationship Id="rId1" Type="http://schemas.openxmlformats.org/officeDocument/2006/relationships/hyperlink" Target="http://www2.ohchr.org/English/bodies/crc/docs/GC/CRC_C_GC_14_ENG.pdf" TargetMode="External"/><Relationship Id="rId4" Type="http://schemas.openxmlformats.org/officeDocument/2006/relationships/hyperlink" Target="http://www.osce.org/odihr/1745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Sargsyan</dc:creator>
  <cp:keywords/>
  <dc:description/>
  <cp:lastModifiedBy>Lusine Sargsyan</cp:lastModifiedBy>
  <cp:revision>2</cp:revision>
  <dcterms:created xsi:type="dcterms:W3CDTF">2016-11-15T05:09:00Z</dcterms:created>
  <dcterms:modified xsi:type="dcterms:W3CDTF">2016-11-15T05:09:00Z</dcterms:modified>
</cp:coreProperties>
</file>