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B1" w:rsidRPr="000965B4" w:rsidRDefault="000965B4" w:rsidP="00EB7AD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0965B4">
        <w:rPr>
          <w:rFonts w:ascii="GHEA Grapalat" w:hAnsi="GHEA Grapalat" w:cs="Arial"/>
          <w:b/>
          <w:sz w:val="24"/>
          <w:szCs w:val="24"/>
        </w:rPr>
        <w:t>ՀՀ</w:t>
      </w:r>
      <w:r w:rsidRPr="000965B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965B4">
        <w:rPr>
          <w:rFonts w:ascii="GHEA Grapalat" w:hAnsi="GHEA Grapalat" w:cs="Arial"/>
          <w:b/>
          <w:sz w:val="24"/>
          <w:szCs w:val="24"/>
        </w:rPr>
        <w:t>մարդու</w:t>
      </w:r>
      <w:proofErr w:type="spellEnd"/>
      <w:r w:rsidRPr="000965B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965B4">
        <w:rPr>
          <w:rFonts w:ascii="GHEA Grapalat" w:hAnsi="GHEA Grapalat" w:cs="Arial"/>
          <w:b/>
          <w:sz w:val="24"/>
          <w:szCs w:val="24"/>
        </w:rPr>
        <w:t>իրավունքների</w:t>
      </w:r>
      <w:proofErr w:type="spellEnd"/>
      <w:r w:rsidRPr="000965B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965B4">
        <w:rPr>
          <w:rFonts w:ascii="GHEA Grapalat" w:hAnsi="GHEA Grapalat" w:cs="Arial"/>
          <w:b/>
          <w:sz w:val="24"/>
          <w:szCs w:val="24"/>
        </w:rPr>
        <w:t>պաշտպանի</w:t>
      </w:r>
      <w:proofErr w:type="spellEnd"/>
      <w:r w:rsidRPr="000965B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965B4">
        <w:rPr>
          <w:rFonts w:ascii="GHEA Grapalat" w:hAnsi="GHEA Grapalat" w:cs="Arial"/>
          <w:b/>
          <w:sz w:val="24"/>
          <w:szCs w:val="24"/>
        </w:rPr>
        <w:t>դիրքորոշումը</w:t>
      </w:r>
      <w:proofErr w:type="spellEnd"/>
    </w:p>
    <w:p w:rsidR="00A15C65" w:rsidRDefault="000965B4" w:rsidP="00A15C65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65B4">
        <w:rPr>
          <w:rFonts w:ascii="GHEA Grapalat" w:hAnsi="GHEA Grapalat"/>
          <w:b/>
          <w:sz w:val="24"/>
          <w:szCs w:val="24"/>
          <w:lang w:val="hy-AM"/>
        </w:rPr>
        <w:t>«</w:t>
      </w:r>
      <w:r w:rsidR="00A15C65">
        <w:rPr>
          <w:rFonts w:ascii="GHEA Grapalat" w:hAnsi="GHEA Grapalat"/>
          <w:b/>
          <w:sz w:val="24"/>
          <w:szCs w:val="24"/>
          <w:lang w:val="hy-AM"/>
        </w:rPr>
        <w:t>Փաստաբան Տիգրան Եգորյանի</w:t>
      </w:r>
      <w:r w:rsidRPr="000965B4">
        <w:rPr>
          <w:rFonts w:ascii="GHEA Grapalat" w:hAnsi="GHEA Grapalat"/>
          <w:b/>
          <w:sz w:val="24"/>
          <w:szCs w:val="24"/>
          <w:lang w:val="hy-AM"/>
        </w:rPr>
        <w:t xml:space="preserve"> դիմումի հիման վրա՝ </w:t>
      </w:r>
      <w:r w:rsidR="00A15C65">
        <w:rPr>
          <w:rFonts w:ascii="GHEA Grapalat" w:hAnsi="GHEA Grapalat"/>
          <w:b/>
          <w:sz w:val="24"/>
          <w:szCs w:val="24"/>
          <w:lang w:val="hy-AM"/>
        </w:rPr>
        <w:t xml:space="preserve">ՀՀ քրեական դատավարության օրենսգրքի 142-րդ հոդվածի 1-ին մասի 6-րդ կետը և 143-րդ հոդվածի 5-րդ </w:t>
      </w:r>
      <w:r w:rsidR="00105AF9" w:rsidRPr="00105AF9">
        <w:rPr>
          <w:rFonts w:ascii="GHEA Grapalat" w:hAnsi="GHEA Grapalat"/>
          <w:b/>
          <w:sz w:val="24"/>
          <w:szCs w:val="24"/>
          <w:lang w:val="hy-AM"/>
        </w:rPr>
        <w:t>մասի՝</w:t>
      </w:r>
      <w:r w:rsidR="00A15C65" w:rsidRPr="00105AF9">
        <w:rPr>
          <w:rFonts w:ascii="GHEA Grapalat" w:hAnsi="GHEA Grapalat"/>
          <w:b/>
          <w:sz w:val="24"/>
          <w:szCs w:val="24"/>
          <w:lang w:val="hy-AM"/>
        </w:rPr>
        <w:t xml:space="preserve"> ՀՀ Սահմանադրության </w:t>
      </w:r>
      <w:r w:rsidR="00105AF9">
        <w:rPr>
          <w:rFonts w:ascii="GHEA Grapalat" w:hAnsi="GHEA Grapalat"/>
          <w:b/>
          <w:sz w:val="24"/>
          <w:szCs w:val="24"/>
          <w:lang w:val="hy-AM"/>
        </w:rPr>
        <w:t xml:space="preserve">համապատասխանությունը որոշելու </w:t>
      </w:r>
      <w:r w:rsidR="00A15C65" w:rsidRPr="0003650F">
        <w:rPr>
          <w:rFonts w:ascii="GHEA Grapalat" w:hAnsi="GHEA Grapalat"/>
          <w:b/>
          <w:sz w:val="24"/>
          <w:szCs w:val="24"/>
          <w:lang w:val="hy-AM"/>
        </w:rPr>
        <w:t xml:space="preserve">վերաբերյալ» </w:t>
      </w:r>
      <w:r w:rsidR="00105AF9" w:rsidRPr="0003650F">
        <w:rPr>
          <w:rFonts w:ascii="GHEA Grapalat" w:hAnsi="GHEA Grapalat"/>
          <w:b/>
          <w:sz w:val="24"/>
          <w:szCs w:val="24"/>
          <w:lang w:val="hy-AM"/>
        </w:rPr>
        <w:t xml:space="preserve">գործի </w:t>
      </w:r>
      <w:r w:rsidR="00A15C65" w:rsidRPr="0003650F">
        <w:rPr>
          <w:rFonts w:ascii="GHEA Grapalat" w:hAnsi="GHEA Grapalat"/>
          <w:b/>
          <w:sz w:val="24"/>
          <w:szCs w:val="24"/>
          <w:lang w:val="hy-AM"/>
        </w:rPr>
        <w:t>կապակցությամբ</w:t>
      </w:r>
    </w:p>
    <w:p w:rsidR="000965B4" w:rsidRDefault="000965B4" w:rsidP="00EB7AD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65B4" w:rsidRDefault="000965B4" w:rsidP="00EB7AD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965B4" w:rsidRDefault="000965B4" w:rsidP="00EB7AD1">
      <w:pPr>
        <w:spacing w:after="0" w:line="36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965B4">
        <w:rPr>
          <w:rFonts w:ascii="GHEA Grapalat" w:hAnsi="GHEA Grapalat"/>
          <w:b/>
          <w:sz w:val="24"/>
          <w:szCs w:val="24"/>
          <w:u w:val="single"/>
          <w:lang w:val="hy-AM"/>
        </w:rPr>
        <w:t>Դիմող կողմի պահանջը</w:t>
      </w:r>
    </w:p>
    <w:p w:rsidR="000965B4" w:rsidRPr="000965B4" w:rsidRDefault="00A15C65" w:rsidP="004C2AA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Փաստաբան Տիգրան Եգորյանը </w:t>
      </w:r>
      <w:r w:rsidR="000965B4" w:rsidRPr="000965B4">
        <w:rPr>
          <w:rFonts w:ascii="GHEA Grapalat" w:hAnsi="GHEA Grapalat"/>
          <w:sz w:val="24"/>
          <w:szCs w:val="24"/>
          <w:lang w:val="hy-AM"/>
        </w:rPr>
        <w:t>(այսուհետ՝ Դիմող)</w:t>
      </w:r>
      <w:r w:rsidR="00A41F02">
        <w:rPr>
          <w:rFonts w:ascii="GHEA Grapalat" w:hAnsi="GHEA Grapalat"/>
          <w:sz w:val="24"/>
          <w:szCs w:val="24"/>
          <w:lang w:val="hy-AM"/>
        </w:rPr>
        <w:t>, ղեկավարվելով</w:t>
      </w:r>
      <w:r w:rsidR="000965B4" w:rsidRPr="000965B4">
        <w:rPr>
          <w:rFonts w:ascii="GHEA Grapalat" w:hAnsi="GHEA Grapalat"/>
          <w:sz w:val="24"/>
          <w:szCs w:val="24"/>
          <w:lang w:val="hy-AM"/>
        </w:rPr>
        <w:t xml:space="preserve"> ՀՀ Սահմանադրության 101-րդ հոդվածի 1-ին մասի 7-րդ կետով (2005 թվականի փոփոխություններ), «Սահմանադրական դատարանի մասին» ՀՀ օրենքի 25-րդ և 71-րդ հոդվածներով</w:t>
      </w:r>
      <w:r>
        <w:rPr>
          <w:rFonts w:ascii="GHEA Grapalat" w:hAnsi="GHEA Grapalat"/>
          <w:sz w:val="24"/>
          <w:szCs w:val="24"/>
          <w:lang w:val="hy-AM"/>
        </w:rPr>
        <w:t>՝ 2017</w:t>
      </w:r>
      <w:r w:rsidR="000965B4" w:rsidRPr="000965B4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>հուլիսի</w:t>
      </w:r>
      <w:r w:rsidR="000965B4" w:rsidRPr="000965B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0965B4" w:rsidRPr="000965B4">
        <w:rPr>
          <w:rFonts w:ascii="GHEA Grapalat" w:hAnsi="GHEA Grapalat"/>
          <w:sz w:val="24"/>
          <w:szCs w:val="24"/>
          <w:lang w:val="hy-AM"/>
        </w:rPr>
        <w:t xml:space="preserve">1-ին դիմել է ՀՀ սահմանադրական դատարան՝ </w:t>
      </w:r>
      <w:r w:rsidRPr="00A15C65">
        <w:rPr>
          <w:rFonts w:ascii="GHEA Grapalat" w:hAnsi="GHEA Grapalat"/>
          <w:sz w:val="24"/>
          <w:szCs w:val="24"/>
          <w:lang w:val="hy-AM"/>
        </w:rPr>
        <w:t>ՀՀ քրեական դատավարության օրենսգրքի</w:t>
      </w:r>
      <w:r>
        <w:rPr>
          <w:rStyle w:val="FootnoteReference"/>
          <w:rFonts w:ascii="GHEA Grapalat" w:hAnsi="GHEA Grapalat"/>
          <w:b/>
          <w:sz w:val="24"/>
          <w:szCs w:val="24"/>
          <w:lang w:val="hy-AM"/>
        </w:rPr>
        <w:footnoteReference w:id="1"/>
      </w:r>
      <w:r w:rsidRPr="00A15C65">
        <w:rPr>
          <w:rFonts w:ascii="GHEA Grapalat" w:hAnsi="GHEA Grapalat"/>
          <w:sz w:val="24"/>
          <w:szCs w:val="24"/>
          <w:lang w:val="hy-AM"/>
        </w:rPr>
        <w:t xml:space="preserve"> 142-րդ հոդվածի 1-ին մասի 6-րդ կետը և 143-րդ հոդվածի 5-</w:t>
      </w:r>
      <w:r w:rsidRPr="00910612">
        <w:rPr>
          <w:rFonts w:ascii="GHEA Grapalat" w:hAnsi="GHEA Grapalat"/>
          <w:sz w:val="24"/>
          <w:szCs w:val="24"/>
          <w:lang w:val="hy-AM"/>
        </w:rPr>
        <w:t>րդ</w:t>
      </w:r>
      <w:r w:rsidRPr="005B5267">
        <w:rPr>
          <w:rFonts w:ascii="GHEA Grapalat" w:hAnsi="GHEA Grapalat"/>
          <w:sz w:val="24"/>
          <w:szCs w:val="24"/>
          <w:lang w:val="hy-AM"/>
        </w:rPr>
        <w:t xml:space="preserve"> </w:t>
      </w:r>
      <w:r w:rsidR="00105AF9" w:rsidRPr="00910612">
        <w:rPr>
          <w:rFonts w:ascii="GHEA Grapalat" w:hAnsi="GHEA Grapalat"/>
          <w:sz w:val="24"/>
          <w:szCs w:val="24"/>
          <w:lang w:val="hy-AM"/>
        </w:rPr>
        <w:t xml:space="preserve">մասի՝ </w:t>
      </w:r>
      <w:r w:rsidR="000965B4" w:rsidRPr="00910612">
        <w:rPr>
          <w:rFonts w:ascii="GHEA Grapalat" w:hAnsi="GHEA Grapalat"/>
          <w:sz w:val="24"/>
          <w:szCs w:val="24"/>
          <w:lang w:val="hy-AM"/>
        </w:rPr>
        <w:t>ՀՀ</w:t>
      </w:r>
      <w:r w:rsidR="000965B4" w:rsidRPr="005B5267">
        <w:rPr>
          <w:rFonts w:ascii="GHEA Grapalat" w:hAnsi="GHEA Grapalat"/>
          <w:sz w:val="24"/>
          <w:szCs w:val="24"/>
          <w:lang w:val="hy-AM"/>
        </w:rPr>
        <w:t xml:space="preserve"> Սահմանադրության</w:t>
      </w:r>
      <w:r w:rsidR="000965B4" w:rsidRPr="000965B4">
        <w:rPr>
          <w:rFonts w:ascii="GHEA Grapalat" w:hAnsi="GHEA Grapalat"/>
          <w:sz w:val="24"/>
          <w:szCs w:val="24"/>
          <w:lang w:val="hy-AM"/>
        </w:rPr>
        <w:t xml:space="preserve"> </w:t>
      </w:r>
      <w:r w:rsidR="00105AF9">
        <w:rPr>
          <w:rFonts w:ascii="GHEA Grapalat" w:hAnsi="GHEA Grapalat"/>
          <w:sz w:val="24"/>
          <w:szCs w:val="24"/>
          <w:lang w:val="hy-AM"/>
        </w:rPr>
        <w:t>համապատասխանությունը որոշելու վերաբերյալ</w:t>
      </w:r>
      <w:r w:rsidR="000965B4" w:rsidRPr="000965B4">
        <w:rPr>
          <w:rFonts w:ascii="GHEA Grapalat" w:hAnsi="GHEA Grapalat"/>
          <w:sz w:val="24"/>
          <w:szCs w:val="24"/>
          <w:lang w:val="hy-AM"/>
        </w:rPr>
        <w:t>։</w:t>
      </w:r>
    </w:p>
    <w:p w:rsidR="0012232C" w:rsidRDefault="0012232C" w:rsidP="00EB7AD1">
      <w:pPr>
        <w:pStyle w:val="ListParagraph"/>
        <w:tabs>
          <w:tab w:val="left" w:pos="0"/>
          <w:tab w:val="left" w:pos="709"/>
        </w:tabs>
        <w:spacing w:line="360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</w:p>
    <w:p w:rsidR="0003650F" w:rsidRDefault="000965B4" w:rsidP="00EB7AD1">
      <w:pPr>
        <w:pStyle w:val="ListParagraph"/>
        <w:tabs>
          <w:tab w:val="left" w:pos="0"/>
          <w:tab w:val="left" w:pos="709"/>
        </w:tabs>
        <w:spacing w:line="360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  <w:r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>Դիմումում վկայակոչած իրավական հիմքերը</w:t>
      </w:r>
    </w:p>
    <w:p w:rsidR="0003650F" w:rsidRPr="00A15C65" w:rsidRDefault="00E67A1F" w:rsidP="00A15C65">
      <w:pPr>
        <w:tabs>
          <w:tab w:val="left" w:pos="126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Դիմումում </w:t>
      </w:r>
      <w:r w:rsidR="00A41F02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Օրենսգրքի</w:t>
      </w:r>
      <w:r w:rsidR="0003650F" w:rsidRPr="003408F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C65">
        <w:rPr>
          <w:rFonts w:ascii="GHEA Grapalat" w:hAnsi="GHEA Grapalat"/>
          <w:sz w:val="24"/>
          <w:szCs w:val="24"/>
          <w:lang w:val="hy-AM"/>
        </w:rPr>
        <w:t xml:space="preserve">142-րդ հոդվածի 1-ին մասի 6-րդ կետը և 143-րդ հոդվածի 5-րդ մասի </w:t>
      </w:r>
      <w:proofErr w:type="spellStart"/>
      <w:r w:rsidR="0003650F" w:rsidRPr="003408FF">
        <w:rPr>
          <w:rFonts w:ascii="GHEA Grapalat" w:hAnsi="GHEA Grapalat"/>
          <w:sz w:val="24"/>
          <w:szCs w:val="24"/>
          <w:lang w:val="hy-AM"/>
        </w:rPr>
        <w:t>սահմանադրականության</w:t>
      </w:r>
      <w:proofErr w:type="spellEnd"/>
      <w:r w:rsidR="0003650F" w:rsidRPr="003408FF">
        <w:rPr>
          <w:rFonts w:ascii="GHEA Grapalat" w:hAnsi="GHEA Grapalat"/>
          <w:sz w:val="24"/>
          <w:szCs w:val="24"/>
          <w:lang w:val="hy-AM"/>
        </w:rPr>
        <w:t xml:space="preserve"> հարցը</w:t>
      </w:r>
      <w:r w:rsidR="0003650F" w:rsidRPr="003408FF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քննարկվել է այնքանով, որքանով </w:t>
      </w:r>
      <w:r w:rsidR="00A15C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այդ դրույթները հնարավորություն են տալիս քրեակատարողական հիմնարկների </w:t>
      </w:r>
      <w:proofErr w:type="spellStart"/>
      <w:r w:rsidR="00A15C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վարչակազմերին</w:t>
      </w:r>
      <w:proofErr w:type="spellEnd"/>
      <w:r w:rsidR="00A15C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անհապաղ ազատ չարձակել անձին, ում նկատմամբ դատարանի կողմից որպես այլընտրանքային խափանման միջոց ընտրված գրավի չափը մուծված է</w:t>
      </w:r>
      <w:r w:rsidR="006A664F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ու ներկայացված է այդ մասին ապացույց և տալիս են հնարա</w:t>
      </w:r>
      <w:r w:rsidR="000E0367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վորություն լրացուցիչ պահանջել նախաքննության մարմնի որոշում կամ հանձնարարություն՝ անձին ազատ արձակելու </w:t>
      </w:r>
      <w:proofErr w:type="spellStart"/>
      <w:r w:rsidR="000E0367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կապակցույթամբ</w:t>
      </w:r>
      <w:proofErr w:type="spellEnd"/>
      <w:r w:rsidR="000E0367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0965B4" w:rsidRDefault="0003650F" w:rsidP="00EB7AD1">
      <w:pPr>
        <w:pStyle w:val="ListParagraph"/>
        <w:tabs>
          <w:tab w:val="left" w:pos="0"/>
          <w:tab w:val="left" w:pos="720"/>
        </w:tabs>
        <w:spacing w:line="360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3408FF">
        <w:rPr>
          <w:rFonts w:ascii="GHEA Grapalat" w:hAnsi="GHEA Grapalat" w:cs="Arial"/>
          <w:color w:val="000000"/>
          <w:shd w:val="clear" w:color="auto" w:fill="FFFFFF"/>
          <w:lang w:val="hy-AM"/>
        </w:rPr>
        <w:lastRenderedPageBreak/>
        <w:tab/>
        <w:t xml:space="preserve">Դիմող կողմի պնդմամբ՝ վերոնշյալ օրենսդրական կարգավորումը հակասում է 2015 թվականի փոփոխություններով ՀՀ Սահմանադրության </w:t>
      </w:r>
      <w:r w:rsidR="003408FF" w:rsidRPr="003408FF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3-րդ, </w:t>
      </w:r>
      <w:r w:rsidR="000E0367">
        <w:rPr>
          <w:rFonts w:ascii="GHEA Grapalat" w:hAnsi="GHEA Grapalat" w:cs="Arial"/>
          <w:color w:val="000000"/>
          <w:shd w:val="clear" w:color="auto" w:fill="FFFFFF"/>
          <w:lang w:val="hy-AM"/>
        </w:rPr>
        <w:t>4-րդ, 27</w:t>
      </w:r>
      <w:r w:rsidR="003408FF" w:rsidRPr="003408FF">
        <w:rPr>
          <w:rFonts w:ascii="GHEA Grapalat" w:hAnsi="GHEA Grapalat" w:cs="Arial"/>
          <w:color w:val="000000"/>
          <w:shd w:val="clear" w:color="auto" w:fill="FFFFFF"/>
          <w:lang w:val="hy-AM"/>
        </w:rPr>
        <w:t>-րդ, 79-րդ  հոդվածներին։</w:t>
      </w:r>
    </w:p>
    <w:p w:rsidR="00C23B89" w:rsidRDefault="00C23B89" w:rsidP="00EB7AD1">
      <w:pPr>
        <w:pStyle w:val="ListParagraph"/>
        <w:tabs>
          <w:tab w:val="left" w:pos="0"/>
          <w:tab w:val="left" w:pos="720"/>
        </w:tabs>
        <w:spacing w:line="360" w:lineRule="auto"/>
        <w:ind w:left="0"/>
        <w:jc w:val="both"/>
        <w:rPr>
          <w:rFonts w:ascii="GHEA Grapalat" w:hAnsi="GHEA Grapalat"/>
          <w:b/>
          <w:u w:val="single"/>
          <w:lang w:val="hy-AM"/>
        </w:rPr>
      </w:pPr>
    </w:p>
    <w:p w:rsidR="003408FF" w:rsidRDefault="000E0367" w:rsidP="000A5A72">
      <w:pPr>
        <w:pStyle w:val="ListParagraph"/>
        <w:tabs>
          <w:tab w:val="left" w:pos="0"/>
          <w:tab w:val="left" w:pos="720"/>
        </w:tabs>
        <w:spacing w:after="240" w:line="360" w:lineRule="auto"/>
        <w:ind w:left="0"/>
        <w:jc w:val="both"/>
        <w:rPr>
          <w:rFonts w:ascii="GHEA Grapalat" w:hAnsi="GHEA Grapalat"/>
          <w:b/>
          <w:u w:val="single"/>
          <w:lang w:val="hy-AM"/>
        </w:rPr>
      </w:pPr>
      <w:r w:rsidRPr="000E0367">
        <w:rPr>
          <w:rFonts w:ascii="GHEA Grapalat" w:hAnsi="GHEA Grapalat"/>
          <w:b/>
          <w:u w:val="single"/>
          <w:lang w:val="hy-AM"/>
        </w:rPr>
        <w:t>Օրենսգրքի 142-րդ հոդվածի 1-ին մասի 6-րդ կետը և 143-րդ հոդվածի 5-րդ մասի</w:t>
      </w:r>
      <w:r w:rsidR="003408FF" w:rsidRPr="003408FF">
        <w:rPr>
          <w:rFonts w:ascii="GHEA Grapalat" w:hAnsi="GHEA Grapalat"/>
          <w:b/>
          <w:u w:val="single"/>
          <w:lang w:val="hy-AM"/>
        </w:rPr>
        <w:t xml:space="preserve"> ՀՀ Սահմանադրության համապատասխանության հարցի վերաբերյալ ՀՀ մարդու իրավունքների պաշտպանի աշխատակազմի վերլուծությունը</w:t>
      </w:r>
    </w:p>
    <w:p w:rsidR="00C21F2B" w:rsidRPr="00745C1E" w:rsidRDefault="003408FF" w:rsidP="000A5A72">
      <w:pPr>
        <w:pStyle w:val="ListParagraph"/>
        <w:tabs>
          <w:tab w:val="left" w:pos="0"/>
          <w:tab w:val="left" w:pos="720"/>
        </w:tabs>
        <w:spacing w:line="360" w:lineRule="auto"/>
        <w:ind w:left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lang w:val="hy-AM"/>
        </w:rPr>
        <w:tab/>
      </w:r>
      <w:r w:rsidR="00745C1E" w:rsidRPr="00745C1E">
        <w:rPr>
          <w:rFonts w:ascii="GHEA Grapalat" w:hAnsi="GHEA Grapalat"/>
          <w:color w:val="000000" w:themeColor="text1"/>
          <w:lang w:val="hy-AM"/>
        </w:rPr>
        <w:t>Օրենսգրքի 141</w:t>
      </w:r>
      <w:r w:rsidR="000E0367" w:rsidRPr="00745C1E">
        <w:rPr>
          <w:rFonts w:ascii="GHEA Grapalat" w:hAnsi="GHEA Grapalat"/>
          <w:color w:val="000000" w:themeColor="text1"/>
          <w:lang w:val="hy-AM"/>
        </w:rPr>
        <w:t>-րդ հոդվածի 1</w:t>
      </w:r>
      <w:r w:rsidR="00745C1E" w:rsidRPr="00745C1E">
        <w:rPr>
          <w:rFonts w:ascii="GHEA Grapalat" w:hAnsi="GHEA Grapalat"/>
          <w:color w:val="000000" w:themeColor="text1"/>
          <w:lang w:val="hy-AM"/>
        </w:rPr>
        <w:t>2-րդ մասի</w:t>
      </w:r>
      <w:r w:rsidR="000E0367" w:rsidRPr="00745C1E">
        <w:rPr>
          <w:rFonts w:ascii="GHEA Grapalat" w:hAnsi="GHEA Grapalat"/>
          <w:color w:val="000000" w:themeColor="text1"/>
          <w:lang w:val="hy-AM"/>
        </w:rPr>
        <w:t xml:space="preserve"> համաձայն</w:t>
      </w:r>
      <w:r w:rsidR="000E0367">
        <w:rPr>
          <w:rFonts w:ascii="GHEA Grapalat" w:hAnsi="GHEA Grapalat"/>
          <w:lang w:val="hy-AM"/>
        </w:rPr>
        <w:t xml:space="preserve">՝ </w:t>
      </w:r>
      <w:r w:rsidR="000E0367" w:rsidRPr="00745C1E">
        <w:rPr>
          <w:rFonts w:ascii="GHEA Grapalat" w:hAnsi="GHEA Grapalat"/>
          <w:color w:val="000000" w:themeColor="text1"/>
          <w:lang w:val="hy-AM"/>
        </w:rPr>
        <w:t>կալանավորվածներին պահելու վայրի վարչակազմը պարտավոր է կալանքից անմիջապես ազատել անձին, որի ազատման համար դատարանի կողմից նշանակված գրավը լրիվ մուծված է:</w:t>
      </w:r>
    </w:p>
    <w:p w:rsidR="000E0367" w:rsidRPr="00745C1E" w:rsidRDefault="00745C1E" w:rsidP="00745C1E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0E0367" w:rsidRPr="00745C1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Օրենսգրքի 142-րդ հոդվածի 1-ին մասի 6-րդ կետի համաձայն՝ </w:t>
      </w:r>
      <w:r w:rsidRPr="00745C1E">
        <w:rPr>
          <w:rFonts w:ascii="GHEA Grapalat" w:hAnsi="GHEA Grapalat"/>
          <w:color w:val="000000" w:themeColor="text1"/>
          <w:sz w:val="24"/>
          <w:szCs w:val="24"/>
          <w:lang w:val="hy-AM"/>
        </w:rPr>
        <w:t>մեղադրյալը քրեական վարույթն իրականացնող համապատասխան մարմնի որոշման հիման վրա կալանքից ենթակա է ազատման, եթե մուծված է անձին կալանքից ազատելու համար դատարանի կողմից նշանակված գրավը:</w:t>
      </w:r>
      <w:r w:rsidR="00946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Ավելին, նույ</w:t>
      </w:r>
      <w:r w:rsidR="005B526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946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հոդվածի 2-րդ մասի համաձայն սո</w:t>
      </w:r>
      <w:r w:rsidR="00946D26" w:rsidRPr="00946D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ւյն հոդվածի առաջին մասի 4-6-րդ կետերով նախատեսված դեպքերում անձին կալանքից ազատելու որոշում կարող է ընդունել </w:t>
      </w:r>
      <w:r w:rsidR="00946D26" w:rsidRPr="001D754A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նաև կալանավորվածներին պահելու վայրի վարչակազմի ղեկավարը</w:t>
      </w:r>
      <w:r w:rsidR="00946D26" w:rsidRPr="00946D26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E97D33" w:rsidRDefault="00745C1E" w:rsidP="00EB7AD1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Օրենքի մեկ այլ՝ 143-րդ հոդվածի 5-րդ մասով սահմանվում է, որ գրավի մուծված լինելու մասին ապացույցներ ստանալով՝ քրեական վարույթն իրականացնող մարմինն անմիջապես հանձնարարում է մեղադրյալին ազատել կալանքից։</w:t>
      </w:r>
    </w:p>
    <w:p w:rsidR="00745C1E" w:rsidRDefault="00946D26" w:rsidP="00EB7AD1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745C1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Սույն դրույթների համակարգային վերլուծությունը հնարավորություն է տալիս փաստելու, որ օրենսդիրը սահմանել է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երկու </w:t>
      </w:r>
      <w:proofErr w:type="spellStart"/>
      <w:r w:rsidR="00745C1E">
        <w:rPr>
          <w:rFonts w:ascii="GHEA Grapalat" w:hAnsi="GHEA Grapalat"/>
          <w:color w:val="000000" w:themeColor="text1"/>
          <w:sz w:val="24"/>
          <w:szCs w:val="24"/>
          <w:lang w:val="hy-AM"/>
        </w:rPr>
        <w:t>իրավակարգավորումներ</w:t>
      </w:r>
      <w:proofErr w:type="spellEnd"/>
      <w:r w:rsidR="00745C1E">
        <w:rPr>
          <w:rFonts w:ascii="GHEA Grapalat" w:hAnsi="GHEA Grapalat"/>
          <w:color w:val="000000" w:themeColor="text1"/>
          <w:sz w:val="24"/>
          <w:szCs w:val="24"/>
          <w:lang w:val="hy-AM"/>
        </w:rPr>
        <w:t>, ինչը քննարկվող դիմումի շրջանակներում անդրադարձել է անձի անձնական ազատության իրավունքի իրացման վրա։</w:t>
      </w:r>
    </w:p>
    <w:p w:rsidR="000C66BA" w:rsidRDefault="00946D26" w:rsidP="000C66BA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 դեպքում օրենսդիրը նախատեսել է միայն մեկ պայման՝ դատարանի կողմից նշանակված գրավը մուծված լինելու փաստի հավաստում, ինչը քրեակատարողական հիմնարկի վարչակազմի համար առաջացնում է կալանավորված անձի անհապաղ ազատ </w:t>
      </w:r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արձակելու </w:t>
      </w:r>
      <w:proofErr w:type="spellStart"/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>պարտա</w:t>
      </w:r>
      <w:r w:rsidR="000A5A72">
        <w:rPr>
          <w:rFonts w:ascii="GHEA Grapalat" w:hAnsi="GHEA Grapalat"/>
          <w:color w:val="000000" w:themeColor="text1"/>
          <w:sz w:val="24"/>
          <w:szCs w:val="24"/>
          <w:lang w:val="hy-AM"/>
        </w:rPr>
        <w:t>կանություն</w:t>
      </w:r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  <w:r w:rsidR="00A45C30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>իևնույն</w:t>
      </w:r>
      <w:proofErr w:type="spellEnd"/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ժամանակ Օրեն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>գրքի 143-րդ հոդվածի 5-րդ մասով օրենսդիրը նախատեսել</w:t>
      </w:r>
      <w:r w:rsidR="00A45C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</w:t>
      </w:r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վարույթն իրականացնող մարմնի կողմից անձին ազատ արձակելու </w:t>
      </w:r>
      <w:proofErr w:type="spellStart"/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>հանձարարականի</w:t>
      </w:r>
      <w:proofErr w:type="spellEnd"/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առկայության անհրաժեշտ լինելու պ</w:t>
      </w:r>
      <w:r w:rsidR="000C66BA">
        <w:rPr>
          <w:rFonts w:ascii="GHEA Grapalat" w:hAnsi="GHEA Grapalat"/>
          <w:color w:val="000000" w:themeColor="text1"/>
          <w:sz w:val="24"/>
          <w:szCs w:val="24"/>
          <w:lang w:val="hy-AM"/>
        </w:rPr>
        <w:t>այման</w:t>
      </w:r>
      <w:r w:rsidR="00B1612C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0A5A72" w:rsidRDefault="000A5A72" w:rsidP="000C66BA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Ստեղծված իրավիճակը</w:t>
      </w:r>
      <w:r w:rsidR="00340DC2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նախևառաջ</w:t>
      </w:r>
      <w:proofErr w:type="spellEnd"/>
      <w:r w:rsidR="00340DC2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անհրաժեշտ է քննարկել անձի՝ անձնական ազատության իրավունքի իրացման տեսանկյունից:</w:t>
      </w:r>
      <w:r w:rsidR="00D2274D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</w:p>
    <w:p w:rsidR="000C66BA" w:rsidRPr="004C2AA3" w:rsidRDefault="000A5A72" w:rsidP="000C66BA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0C66B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Քննարկվող հարցի շրջանակներում </w:t>
      </w:r>
      <w:proofErr w:type="spellStart"/>
      <w:r w:rsidR="000C66BA">
        <w:rPr>
          <w:rFonts w:ascii="GHEA Grapalat" w:hAnsi="GHEA Grapalat"/>
          <w:color w:val="000000" w:themeColor="text1"/>
          <w:sz w:val="24"/>
          <w:szCs w:val="24"/>
          <w:lang w:val="hy-AM"/>
        </w:rPr>
        <w:t>արժենպատակ</w:t>
      </w:r>
      <w:proofErr w:type="spellEnd"/>
      <w:r w:rsidR="000C66B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 </w:t>
      </w:r>
      <w:r w:rsidR="00D2274D">
        <w:rPr>
          <w:rFonts w:ascii="GHEA Grapalat" w:hAnsi="GHEA Grapalat"/>
          <w:color w:val="000000" w:themeColor="text1"/>
          <w:sz w:val="24"/>
          <w:szCs w:val="24"/>
          <w:lang w:val="hy-AM"/>
        </w:rPr>
        <w:t>հի</w:t>
      </w:r>
      <w:r w:rsidR="000C66B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շատակել այն փաստը, որ </w:t>
      </w:r>
      <w:r w:rsidR="001230B9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շարք միջազգային իրավական փաստաթղթերով՝ մասնավորապես, Մարդու իրավունքների համընդհանուր հռչակագրի 3-րդ հոդվածով, «Քաղաքացիական և քաղաքական իրավունքների մասին» միջազգային դաշնագրի 9-րդ հոդվածով, ինչպես նաև Մարդու իրավունքների և հիմնարար ազատությունների պաշտպանության </w:t>
      </w:r>
      <w:proofErr w:type="spellStart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եվրոպական</w:t>
      </w:r>
      <w:proofErr w:type="spellEnd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կոնվենցիայի</w:t>
      </w:r>
      <w:r w:rsidR="00D2274D" w:rsidRPr="004C2AA3">
        <w:rPr>
          <w:color w:val="000000" w:themeColor="text1"/>
          <w:sz w:val="24"/>
          <w:szCs w:val="24"/>
          <w:vertAlign w:val="superscript"/>
        </w:rPr>
        <w:footnoteReference w:id="2"/>
      </w:r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5-րդ հոդվածով երաշխավորվում է մարդու անձնական ազատության իրավունքը։ Այսպես</w:t>
      </w:r>
      <w:r w:rsidR="00D2274D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«Քաղաքացիական և քաղաքական իրավունքների մասին» միջազգային դաշնագրի 9-րդ հոդվածն ամրագրում է անձին քմահաճ ձերբակալման կամ կալանքի տակ պահվելու արգելքի մասին: </w:t>
      </w:r>
      <w:proofErr w:type="spellStart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Միևնույն</w:t>
      </w:r>
      <w:proofErr w:type="spellEnd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ժամանակ Կոնվենցիայի 5-րդ հոդվածի համաձայն յուրաքանչյուր </w:t>
      </w:r>
      <w:proofErr w:type="spellStart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ոք</w:t>
      </w:r>
      <w:proofErr w:type="spellEnd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ունի ազատության և անձնական </w:t>
      </w:r>
      <w:proofErr w:type="spellStart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անձեռնմխելոիության</w:t>
      </w:r>
      <w:proofErr w:type="spellEnd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իրավունք: Ոչ </w:t>
      </w:r>
      <w:proofErr w:type="spellStart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ոքի</w:t>
      </w:r>
      <w:proofErr w:type="spellEnd"/>
      <w:r w:rsidR="000C66BA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չի կարելի ազատությունից զրկել այլ կերպ, քան Կոնվենցիայով սահմանված դեպքերում և օրենքի հիման վրա: </w:t>
      </w:r>
    </w:p>
    <w:p w:rsidR="00D2274D" w:rsidRPr="004C2AA3" w:rsidRDefault="00D2274D" w:rsidP="000C66BA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Սակայն, քննարկվող դեպքում, առկա </w:t>
      </w:r>
      <w:proofErr w:type="spellStart"/>
      <w:r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իրավակարգավորումների</w:t>
      </w:r>
      <w:proofErr w:type="spellEnd"/>
      <w:r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հիման վրա ստեղծվում է այնպիսի իրավիճակ, երբ անձի ազատ արձակումը </w:t>
      </w:r>
      <w:proofErr w:type="spellStart"/>
      <w:r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ձգձվում</w:t>
      </w:r>
      <w:proofErr w:type="spellEnd"/>
      <w:r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է, այդպիսով </w:t>
      </w:r>
      <w:proofErr w:type="spellStart"/>
      <w:r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խաթարվելով</w:t>
      </w:r>
      <w:proofErr w:type="spellEnd"/>
      <w:r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վերջինիս</w:t>
      </w:r>
      <w:r w:rsidR="00417D22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անձնական ազատության հիմնարար իրավունքի իրացումը։ </w:t>
      </w:r>
    </w:p>
    <w:p w:rsidR="00B023C8" w:rsidRPr="00B023C8" w:rsidRDefault="00A45C30" w:rsidP="00B023C8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D2274D">
        <w:rPr>
          <w:rFonts w:ascii="GHEA Grapalat" w:hAnsi="GHEA Grapalat"/>
          <w:color w:val="000000" w:themeColor="text1"/>
          <w:sz w:val="24"/>
          <w:szCs w:val="24"/>
          <w:lang w:val="hy-AM"/>
        </w:rPr>
        <w:t>Անձի՝ անձնական ազատության և անձի ազատ արձակման ուղղված գոր</w:t>
      </w:r>
      <w:r w:rsidR="00487BDA">
        <w:rPr>
          <w:rFonts w:ascii="GHEA Grapalat" w:hAnsi="GHEA Grapalat"/>
          <w:color w:val="000000" w:themeColor="text1"/>
          <w:sz w:val="24"/>
          <w:szCs w:val="24"/>
          <w:lang w:val="hy-AM"/>
        </w:rPr>
        <w:t>ծ</w:t>
      </w:r>
      <w:r w:rsidR="00D2274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ողությունների հետաձգմանը անդրադարձել է նաև Մարդու իրավունքների </w:t>
      </w:r>
      <w:proofErr w:type="spellStart"/>
      <w:r w:rsidR="00D2274D">
        <w:rPr>
          <w:rFonts w:ascii="GHEA Grapalat" w:hAnsi="GHEA Grapalat"/>
          <w:color w:val="000000" w:themeColor="text1"/>
          <w:sz w:val="24"/>
          <w:szCs w:val="24"/>
          <w:lang w:val="hy-AM"/>
        </w:rPr>
        <w:t>եվրոպական</w:t>
      </w:r>
      <w:proofErr w:type="spellEnd"/>
      <w:r w:rsidR="00D2274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դատարանը։</w:t>
      </w:r>
      <w:r w:rsidR="00D2274D" w:rsidRPr="004C2AA3">
        <w:rPr>
          <w:vertAlign w:val="superscript"/>
        </w:rPr>
        <w:footnoteReference w:id="3"/>
      </w:r>
      <w:r w:rsidR="00B023C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023C8" w:rsidRPr="0063295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Մասնավորապես </w:t>
      </w:r>
      <w:proofErr w:type="spellStart"/>
      <w:r w:rsidR="00B023C8" w:rsidRPr="0063295E">
        <w:rPr>
          <w:rFonts w:ascii="GHEA Grapalat" w:hAnsi="GHEA Grapalat"/>
          <w:sz w:val="24"/>
          <w:szCs w:val="24"/>
          <w:lang w:val="hy-AM"/>
        </w:rPr>
        <w:t>Բուզաջին</w:t>
      </w:r>
      <w:proofErr w:type="spellEnd"/>
      <w:r w:rsidR="00B023C8" w:rsidRPr="0063295E">
        <w:rPr>
          <w:rFonts w:ascii="GHEA Grapalat" w:hAnsi="GHEA Grapalat"/>
          <w:sz w:val="24"/>
          <w:szCs w:val="24"/>
          <w:lang w:val="hy-AM"/>
        </w:rPr>
        <w:t xml:space="preserve"> ընդդեմ Մոլդովայի գործով </w:t>
      </w:r>
      <w:proofErr w:type="spellStart"/>
      <w:r w:rsidR="00B023C8" w:rsidRPr="0063295E">
        <w:rPr>
          <w:rFonts w:ascii="GHEA Grapalat" w:hAnsi="GHEA Grapalat"/>
          <w:sz w:val="24"/>
          <w:szCs w:val="24"/>
          <w:lang w:val="hy-AM"/>
        </w:rPr>
        <w:t>Եվրոպական</w:t>
      </w:r>
      <w:proofErr w:type="spellEnd"/>
      <w:r w:rsidR="00B023C8" w:rsidRPr="0063295E">
        <w:rPr>
          <w:rFonts w:ascii="GHEA Grapalat" w:hAnsi="GHEA Grapalat"/>
          <w:sz w:val="24"/>
          <w:szCs w:val="24"/>
          <w:lang w:val="hy-AM"/>
        </w:rPr>
        <w:t xml:space="preserve"> դատարանն արտահայտել է իր դիրքորոշումն առ այն, որ Կոնվենցիայի 5-րդ հոդվածի 1-ին մասը վկայակոչում է անձի ազատության մեջ գտնվելու </w:t>
      </w:r>
      <w:proofErr w:type="spellStart"/>
      <w:r w:rsidR="00B023C8" w:rsidRPr="0063295E">
        <w:rPr>
          <w:rFonts w:ascii="GHEA Grapalat" w:hAnsi="GHEA Grapalat"/>
          <w:sz w:val="24"/>
          <w:szCs w:val="24"/>
          <w:lang w:val="hy-AM"/>
        </w:rPr>
        <w:t>կարևորագույն</w:t>
      </w:r>
      <w:proofErr w:type="spellEnd"/>
      <w:r w:rsidR="00B023C8" w:rsidRPr="0063295E">
        <w:rPr>
          <w:rFonts w:ascii="GHEA Grapalat" w:hAnsi="GHEA Grapalat"/>
          <w:sz w:val="24"/>
          <w:szCs w:val="24"/>
          <w:lang w:val="hy-AM"/>
        </w:rPr>
        <w:t xml:space="preserve"> կանխավարկածը:</w:t>
      </w:r>
      <w:r w:rsidR="00B023C8" w:rsidRPr="0063295E">
        <w:rPr>
          <w:rStyle w:val="FootnoteReference"/>
          <w:rFonts w:ascii="GHEA Grapalat" w:hAnsi="GHEA Grapalat"/>
          <w:sz w:val="24"/>
          <w:szCs w:val="24"/>
        </w:rPr>
        <w:footnoteReference w:id="4"/>
      </w:r>
      <w:r w:rsidR="00B023C8" w:rsidRPr="0063295E">
        <w:rPr>
          <w:rFonts w:ascii="GHEA Grapalat" w:hAnsi="GHEA Grapalat"/>
          <w:sz w:val="24"/>
          <w:szCs w:val="24"/>
          <w:lang w:val="hy-AM"/>
        </w:rPr>
        <w:t xml:space="preserve"> </w:t>
      </w:r>
      <w:r w:rsidR="00B023C8" w:rsidRPr="0063295E">
        <w:rPr>
          <w:rFonts w:ascii="GHEA Grapalat" w:hAnsi="GHEA Grapalat"/>
          <w:sz w:val="24"/>
          <w:szCs w:val="24"/>
          <w:lang w:val="hy-AM"/>
        </w:rPr>
        <w:lastRenderedPageBreak/>
        <w:t xml:space="preserve">Նույն գործով, ինչպես նաև իր </w:t>
      </w:r>
      <w:proofErr w:type="spellStart"/>
      <w:r w:rsidR="00B023C8" w:rsidRPr="0063295E">
        <w:rPr>
          <w:rFonts w:ascii="GHEA Grapalat" w:hAnsi="GHEA Grapalat"/>
          <w:sz w:val="24"/>
          <w:szCs w:val="24"/>
          <w:lang w:val="hy-AM"/>
        </w:rPr>
        <w:t>ձևավորած</w:t>
      </w:r>
      <w:proofErr w:type="spellEnd"/>
      <w:r w:rsidR="00B023C8" w:rsidRPr="0063295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B023C8" w:rsidRPr="0063295E">
        <w:rPr>
          <w:rFonts w:ascii="GHEA Grapalat" w:hAnsi="GHEA Grapalat"/>
          <w:sz w:val="24"/>
          <w:szCs w:val="24"/>
          <w:lang w:val="hy-AM"/>
        </w:rPr>
        <w:t>նախադեպային</w:t>
      </w:r>
      <w:proofErr w:type="spellEnd"/>
      <w:r w:rsidR="00B023C8" w:rsidRPr="0063295E">
        <w:rPr>
          <w:rFonts w:ascii="GHEA Grapalat" w:hAnsi="GHEA Grapalat"/>
          <w:sz w:val="24"/>
          <w:szCs w:val="24"/>
          <w:lang w:val="hy-AM"/>
        </w:rPr>
        <w:t xml:space="preserve"> իրավունքի իմաստով </w:t>
      </w:r>
      <w:proofErr w:type="spellStart"/>
      <w:r w:rsidR="00B023C8" w:rsidRPr="0063295E">
        <w:rPr>
          <w:rFonts w:ascii="GHEA Grapalat" w:hAnsi="GHEA Grapalat"/>
          <w:sz w:val="24"/>
          <w:szCs w:val="24"/>
          <w:lang w:val="hy-AM"/>
        </w:rPr>
        <w:t>Եվրոպական</w:t>
      </w:r>
      <w:proofErr w:type="spellEnd"/>
      <w:r w:rsidR="00B023C8" w:rsidRPr="0063295E">
        <w:rPr>
          <w:rFonts w:ascii="GHEA Grapalat" w:hAnsi="GHEA Grapalat"/>
          <w:sz w:val="24"/>
          <w:szCs w:val="24"/>
          <w:lang w:val="hy-AM"/>
        </w:rPr>
        <w:t xml:space="preserve"> դատարանը բազմիցս նշել է անձին ազատությունից կամայականորեն զրկելու արգելքի մասին</w:t>
      </w:r>
      <w:r w:rsidR="00B023C8" w:rsidRPr="00B023C8">
        <w:rPr>
          <w:rFonts w:ascii="GHEA Grapalat" w:hAnsi="GHEA Grapalat"/>
          <w:lang w:val="hy-AM"/>
        </w:rPr>
        <w:t>:</w:t>
      </w:r>
      <w:r w:rsidR="00B023C8" w:rsidRPr="00A24A47">
        <w:rPr>
          <w:rStyle w:val="FootnoteReference"/>
          <w:rFonts w:ascii="GHEA Grapalat" w:hAnsi="GHEA Grapalat"/>
        </w:rPr>
        <w:footnoteReference w:id="5"/>
      </w:r>
    </w:p>
    <w:p w:rsidR="00D2274D" w:rsidRPr="004C2AA3" w:rsidRDefault="00487BDA" w:rsidP="00D2274D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1E6E0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Ավելին, </w:t>
      </w:r>
      <w:proofErr w:type="spellStart"/>
      <w:r w:rsidR="001E6E00">
        <w:rPr>
          <w:rFonts w:ascii="GHEA Grapalat" w:hAnsi="GHEA Grapalat"/>
          <w:color w:val="000000" w:themeColor="text1"/>
          <w:sz w:val="24"/>
          <w:szCs w:val="24"/>
          <w:lang w:val="hy-AM"/>
        </w:rPr>
        <w:t>Եվրոպական</w:t>
      </w:r>
      <w:proofErr w:type="spellEnd"/>
      <w:r w:rsidR="001E6E0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</w:t>
      </w:r>
      <w:r w:rsidR="00D2274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ատարանն </w:t>
      </w:r>
      <w:proofErr w:type="spellStart"/>
      <w:r w:rsidR="00D2274D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Ասանիձեն</w:t>
      </w:r>
      <w:proofErr w:type="spellEnd"/>
      <w:r w:rsidR="00D2274D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ընդդեմ Վրաստանի գործով անընդունելի է համարել անձի անազատության մեջ մնալու փաստն այն դեպքում, երբ առկա է </w:t>
      </w:r>
      <w:r w:rsidR="00417D22">
        <w:rPr>
          <w:rFonts w:ascii="GHEA Grapalat" w:hAnsi="GHEA Grapalat"/>
          <w:color w:val="000000" w:themeColor="text1"/>
          <w:sz w:val="24"/>
          <w:szCs w:val="24"/>
          <w:lang w:val="hy-AM"/>
        </w:rPr>
        <w:t>վերջինիս</w:t>
      </w:r>
      <w:r w:rsidR="00D2274D" w:rsidRP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ազատ արձակելու մասին դատական ակտ:</w:t>
      </w:r>
      <w:r w:rsidR="00D2274D" w:rsidRPr="004C2AA3">
        <w:rPr>
          <w:color w:val="000000" w:themeColor="text1"/>
          <w:sz w:val="24"/>
          <w:szCs w:val="24"/>
          <w:vertAlign w:val="superscript"/>
          <w:lang w:val="hy-AM"/>
        </w:rPr>
        <w:footnoteReference w:id="6"/>
      </w:r>
    </w:p>
    <w:p w:rsidR="001E6E00" w:rsidRDefault="00487BDA" w:rsidP="00C20CEE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Մեկ այլ՝ </w:t>
      </w:r>
      <w:proofErr w:type="spellStart"/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Ջիուլիա</w:t>
      </w:r>
      <w:proofErr w:type="spellEnd"/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Մանցոնին</w:t>
      </w:r>
      <w:proofErr w:type="spellEnd"/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ընդդեմ Իտալիայի գործի շրջանակներում դ</w:t>
      </w:r>
      <w:r w:rsidR="00ED4E8C" w:rsidRP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ատարանը</w:t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հայտնել է դիրքորոշում առ այն, որ</w:t>
      </w:r>
      <w:r w:rsidR="00ED4E8C" w:rsidRP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կալանավորի ազատ արձակման որոշում կայացնելու </w:t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գոր</w:t>
      </w:r>
      <w:r w:rsidR="001E6E00">
        <w:rPr>
          <w:rFonts w:ascii="GHEA Grapalat" w:hAnsi="GHEA Grapalat"/>
          <w:color w:val="000000" w:themeColor="text1"/>
          <w:sz w:val="24"/>
          <w:szCs w:val="24"/>
          <w:lang w:val="hy-AM"/>
        </w:rPr>
        <w:t>ծ</w:t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ողությունների </w:t>
      </w:r>
      <w:r w:rsidR="00ED4E8C" w:rsidRP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հետաձգում</w:t>
      </w:r>
      <w:r w:rsidR="00417D22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ED4E8C" w:rsidRP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որոշակի դեպքերում </w:t>
      </w:r>
      <w:r w:rsidR="00ED4E8C" w:rsidRP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հասկանալի </w:t>
      </w:r>
      <w:r w:rsidR="00417D22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</w:t>
      </w:r>
      <w:r w:rsidR="00ED4E8C" w:rsidRP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հաճախ անխուսափելի</w:t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, այնուամենայնիվ,</w:t>
      </w:r>
      <w:r w:rsidR="00ED4E8C" w:rsidRP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ազգային մարմինները պետք է փորձեն </w:t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նվազագույնի հասցնել այդ </w:t>
      </w:r>
      <w:proofErr w:type="spellStart"/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հետաձգումները</w:t>
      </w:r>
      <w:proofErr w:type="spellEnd"/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  <w:r w:rsidR="00ED4E8C" w:rsidRPr="004C2AA3">
        <w:rPr>
          <w:vertAlign w:val="superscript"/>
        </w:rPr>
        <w:footnoteReference w:id="7"/>
      </w:r>
      <w:r w:rsidR="00ED4E8C" w:rsidRP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D2274D" w:rsidRDefault="001E6E00" w:rsidP="00C20CEE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vertAlign w:val="superscript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Համադրելով </w:t>
      </w:r>
      <w:proofErr w:type="spellStart"/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>Եվրոպական</w:t>
      </w:r>
      <w:proofErr w:type="spellEnd"/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դատարանի վերոնշյալ դիրքորոշումը մեր կողմից քննարկվող դիմումում ներկայացված հանգամանքների հետ՝ 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հնարավո</w:t>
      </w:r>
      <w:r w:rsidR="00ED4E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րություն ենք ստանում փաստելու, որ աշխատանքային օրվա 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ավարտի պատճառով անձին անազ</w:t>
      </w:r>
      <w:r w:rsid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ատ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ության մեջ պահելը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վիճահարույց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մանավանդ այն պարագայում, երբ քննիչի աշխատավայր վերադառնալն անհնարին չի եղել, քանի որ ՀՀ մարդու իրավունքների պաշտպանի աշխատակազմի ներկայացուցիչների միջամտության արդյունքում </w:t>
      </w:r>
      <w:r w:rsid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 ընդունել է համապատասխան որոշում և 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հարցը ստացել է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դրական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լուծում։ Որպես սույն պնդման շարունակություն՝ </w:t>
      </w:r>
      <w:proofErr w:type="spellStart"/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արժենպատակ</w:t>
      </w:r>
      <w:proofErr w:type="spellEnd"/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 հիշատակել նաև </w:t>
      </w:r>
      <w:proofErr w:type="spellStart"/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Եվրոպական</w:t>
      </w:r>
      <w:proofErr w:type="spellEnd"/>
      <w:r w:rsid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դատար</w:t>
      </w:r>
      <w:r w:rsidR="00B52B3D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>նի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Քուինն</w:t>
      </w:r>
      <w:proofErr w:type="spellEnd"/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ընդդեմ Ֆրանսիայի վճռում արտահայտված դիրքորոշումն առ այն, որ անձին </w:t>
      </w:r>
      <w:r w:rsidR="00C20CEE" w:rsidRP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«անհապաղ»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ազատ արձակելո</w:t>
      </w:r>
      <w:r w:rsidR="00C20CEE" w:rsidRP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ւ մասին որոշում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C20CEE" w:rsidRP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տասնմեկ ժամ ուշացումով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իրականացնելը</w:t>
      </w:r>
      <w:r w:rsidR="00C20CEE" w:rsidRP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համարվել է</w:t>
      </w:r>
      <w:r w:rsidR="00C20CEE" w:rsidRP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անհամատեղելի Կոնվենցիայի 5-րդ հոդվածի 1-ին մաս</w:t>
      </w:r>
      <w:r w:rsidR="00C20CEE">
        <w:rPr>
          <w:rFonts w:ascii="GHEA Grapalat" w:hAnsi="GHEA Grapalat"/>
          <w:color w:val="000000" w:themeColor="text1"/>
          <w:sz w:val="24"/>
          <w:szCs w:val="24"/>
          <w:lang w:val="hy-AM"/>
        </w:rPr>
        <w:t>ի հետ։</w:t>
      </w:r>
      <w:r w:rsidR="00C20CEE" w:rsidRPr="004C2AA3">
        <w:rPr>
          <w:vertAlign w:val="superscript"/>
        </w:rPr>
        <w:footnoteReference w:id="8"/>
      </w:r>
      <w:r w:rsidR="00C20CEE" w:rsidRPr="004C2AA3">
        <w:rPr>
          <w:rFonts w:ascii="GHEA Grapalat" w:hAnsi="GHEA Grapalat"/>
          <w:color w:val="000000" w:themeColor="text1"/>
          <w:sz w:val="24"/>
          <w:szCs w:val="24"/>
          <w:vertAlign w:val="superscript"/>
          <w:lang w:val="hy-AM"/>
        </w:rPr>
        <w:t xml:space="preserve"> </w:t>
      </w:r>
    </w:p>
    <w:p w:rsidR="004B6885" w:rsidRDefault="004B6885" w:rsidP="00C20CEE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ab/>
        <w:t xml:space="preserve">Նշված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իրավանորմերի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գործնական կիրառությանը բերում է այն խնդրին, որ վարչակազմը անձին կալանքից ազատելու համար փաստորեն որպես պարտադիր պայման է դիտարկում քննիչի համապատասխան որոշման առկայությունը: Միաժամանակ, գործնականում քննիչի համար այդ որոշումը կայացնելուն խոչընդոտող հանգամանքներ կարող են լինել, որոնց առկայության պարագայում </w:t>
      </w:r>
      <w:r w:rsidR="001506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համապատասխան որոշման կայացման համար </w:t>
      </w:r>
      <w:r w:rsidR="00B169AB">
        <w:rPr>
          <w:rFonts w:ascii="GHEA Grapalat" w:hAnsi="GHEA Grapalat"/>
          <w:color w:val="000000" w:themeColor="text1"/>
          <w:sz w:val="24"/>
          <w:szCs w:val="24"/>
          <w:lang w:val="hy-AM"/>
        </w:rPr>
        <w:t>բավարար օրենսդրական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150672">
        <w:rPr>
          <w:rFonts w:ascii="GHEA Grapalat" w:hAnsi="GHEA Grapalat"/>
          <w:color w:val="000000" w:themeColor="text1"/>
          <w:sz w:val="24"/>
          <w:szCs w:val="24"/>
          <w:lang w:val="hy-AM"/>
        </w:rPr>
        <w:t>կարգավոր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ումներ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առկա չեն:</w:t>
      </w:r>
      <w:r w:rsidR="00A922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Նշված իրավիճակում անձի ազատ արձակումը կարող է </w:t>
      </w:r>
      <w:r w:rsidR="00CB0EB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անհարկի և ոչ համաչափորեն </w:t>
      </w:r>
      <w:r w:rsidR="00A922D7">
        <w:rPr>
          <w:rFonts w:ascii="GHEA Grapalat" w:hAnsi="GHEA Grapalat"/>
          <w:color w:val="000000" w:themeColor="text1"/>
          <w:sz w:val="24"/>
          <w:szCs w:val="24"/>
          <w:lang w:val="hy-AM"/>
        </w:rPr>
        <w:t>ձգձգվել</w:t>
      </w:r>
      <w:r w:rsidR="00CB0EB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ինչն էլ համատեղելի չէ </w:t>
      </w:r>
      <w:proofErr w:type="spellStart"/>
      <w:r w:rsidR="00CB0EB4">
        <w:rPr>
          <w:rFonts w:ascii="GHEA Grapalat" w:hAnsi="GHEA Grapalat"/>
          <w:color w:val="000000" w:themeColor="text1"/>
          <w:sz w:val="24"/>
          <w:szCs w:val="24"/>
          <w:lang w:val="hy-AM"/>
        </w:rPr>
        <w:t>Եվրոպական</w:t>
      </w:r>
      <w:proofErr w:type="spellEnd"/>
      <w:r w:rsidR="00CB0EB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դատարանի վերոնշյալ դիրքորոշումների հետ: </w:t>
      </w:r>
    </w:p>
    <w:p w:rsidR="00B023C8" w:rsidRDefault="00A922D7" w:rsidP="00C20CEE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CB0EB4">
        <w:rPr>
          <w:rFonts w:ascii="GHEA Grapalat" w:hAnsi="GHEA Grapalat"/>
          <w:color w:val="000000" w:themeColor="text1"/>
          <w:sz w:val="24"/>
          <w:szCs w:val="24"/>
          <w:lang w:val="hy-AM"/>
        </w:rPr>
        <w:t>Ավելին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, հ</w:t>
      </w:r>
      <w:r w:rsidR="004C2A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արկ է խնդիրն ուսումնասիրել նաև ՀՀ </w:t>
      </w:r>
      <w:r w:rsidR="00B023C8">
        <w:rPr>
          <w:rFonts w:ascii="GHEA Grapalat" w:hAnsi="GHEA Grapalat"/>
          <w:color w:val="000000" w:themeColor="text1"/>
          <w:sz w:val="24"/>
          <w:szCs w:val="24"/>
          <w:lang w:val="hy-AM"/>
        </w:rPr>
        <w:t>սահմանադրության 79-րդ հոդվածով նախատե</w:t>
      </w:r>
      <w:r w:rsidR="005A51F5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B023C8">
        <w:rPr>
          <w:rFonts w:ascii="GHEA Grapalat" w:hAnsi="GHEA Grapalat"/>
          <w:color w:val="000000" w:themeColor="text1"/>
          <w:sz w:val="24"/>
          <w:szCs w:val="24"/>
          <w:lang w:val="hy-AM"/>
        </w:rPr>
        <w:t>վող որոշակիության սկզբունքի պահպանման անկյան տակ։</w:t>
      </w:r>
    </w:p>
    <w:p w:rsidR="004C2AA3" w:rsidRDefault="00FF44F7" w:rsidP="00FF44F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Օրենսգրքի քննարկման առարկա դարձած հոդվածների վերլուծության արդյունքում պարզ է դառնում, որ հնարավորություն չի լինում միանշանակ </w:t>
      </w:r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ընկալել </w:t>
      </w:r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այդ դրույթների մասով օրենքի </w:t>
      </w:r>
      <w:proofErr w:type="spellStart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կանխատեսելիությունն</w:t>
      </w:r>
      <w:proofErr w:type="spellEnd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</w:t>
      </w:r>
      <w:proofErr w:type="spellStart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հետևաբար</w:t>
      </w:r>
      <w:proofErr w:type="spellEnd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որոշակիությունը: </w:t>
      </w:r>
      <w:proofErr w:type="spellStart"/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Իրավակարգավորումների</w:t>
      </w:r>
      <w:proofErr w:type="spellEnd"/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որոշակիության հարցը </w:t>
      </w:r>
      <w:proofErr w:type="spellStart"/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Եվրոպական</w:t>
      </w:r>
      <w:proofErr w:type="spellEnd"/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դատարանում բազմիցս քննարկման առարկա է հանդիսացել։ Այսպես, </w:t>
      </w:r>
      <w:proofErr w:type="spellStart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Փիրուզյանն</w:t>
      </w:r>
      <w:proofErr w:type="spellEnd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ընդդեմ Հայաստանի գործով </w:t>
      </w:r>
      <w:proofErr w:type="spellStart"/>
      <w:r w:rsidR="005A51F5">
        <w:rPr>
          <w:rFonts w:ascii="GHEA Grapalat" w:hAnsi="GHEA Grapalat"/>
          <w:color w:val="000000" w:themeColor="text1"/>
          <w:sz w:val="24"/>
          <w:szCs w:val="24"/>
          <w:lang w:val="hy-AM"/>
        </w:rPr>
        <w:t>Ե</w:t>
      </w:r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վրոպական</w:t>
      </w:r>
      <w:proofErr w:type="spellEnd"/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դատարանն</w:t>
      </w:r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ամրագրել է </w:t>
      </w:r>
      <w:proofErr w:type="spellStart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կարևորագույն</w:t>
      </w:r>
      <w:proofErr w:type="spellEnd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դիրքորոշում, ըստ որի` անձին անազատության մեջ պահելու հարցի շրջ</w:t>
      </w:r>
      <w:r w:rsidR="005A51F5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նակներում հատկապես </w:t>
      </w:r>
      <w:proofErr w:type="spellStart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կարևոր</w:t>
      </w:r>
      <w:proofErr w:type="spellEnd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 պետության կողմից իրավական որոշակիության սկզբունքի բավարարումը: </w:t>
      </w:r>
      <w:proofErr w:type="spellStart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Հետևաբար</w:t>
      </w:r>
      <w:proofErr w:type="spellEnd"/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Եվրոպական</w:t>
      </w:r>
      <w:proofErr w:type="spellEnd"/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դատարանը փաստել է</w:t>
      </w:r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որ չափազանց </w:t>
      </w:r>
      <w:proofErr w:type="spellStart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կարևոր</w:t>
      </w:r>
      <w:proofErr w:type="spellEnd"/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 ազատությունից զրկելու </w:t>
      </w:r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պայ</w:t>
      </w:r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մանները մանրամասնորեն </w:t>
      </w:r>
      <w:r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>հստակեցնել</w:t>
      </w:r>
      <w:r w:rsidR="00B023C8" w:rsidRPr="00FF44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ներպետական օրենսդրությամբ, որպեսզի ապահովվի նաև օրենքի կանխատեսելիությունը:</w:t>
      </w:r>
      <w:r w:rsidR="00B023C8" w:rsidRPr="00FF44F7">
        <w:rPr>
          <w:color w:val="000000" w:themeColor="text1"/>
          <w:sz w:val="24"/>
          <w:szCs w:val="24"/>
          <w:vertAlign w:val="superscript"/>
          <w:lang w:val="hy-AM"/>
        </w:rPr>
        <w:footnoteReference w:id="9"/>
      </w:r>
    </w:p>
    <w:p w:rsidR="00FF44F7" w:rsidRPr="001D754A" w:rsidRDefault="00FF44F7" w:rsidP="00FF44F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Arial"/>
          <w:color w:val="000000" w:themeColor="text1"/>
          <w:lang w:val="hy-AM"/>
        </w:rPr>
        <w:tab/>
      </w:r>
      <w:proofErr w:type="spellStart"/>
      <w:r w:rsidRPr="001D754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Միևնույն</w:t>
      </w:r>
      <w:proofErr w:type="spellEnd"/>
      <w:r w:rsidRPr="001D754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ժամանակ հարկ է նշել, որ ՀՀ Սահմանադրության </w:t>
      </w:r>
      <w:r w:rsidRPr="001D754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75-րդ հոդվածի համաձայն՝ հիմնական իրավունքները և ազատությունները կարգավորելիս օրենքները սահմանում են այդ իրավունքների և ազատությունների արդյունավետ իրականացման համար անհրաժեշտ կազմակերպական </w:t>
      </w:r>
      <w:proofErr w:type="spellStart"/>
      <w:r w:rsidRPr="001D754A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կառուցակարգեր</w:t>
      </w:r>
      <w:proofErr w:type="spellEnd"/>
      <w:r w:rsidRPr="001D754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proofErr w:type="spellStart"/>
      <w:r w:rsidRPr="001D754A">
        <w:rPr>
          <w:rFonts w:ascii="GHEA Grapalat" w:hAnsi="GHEA Grapalat"/>
          <w:color w:val="000000" w:themeColor="text1"/>
          <w:sz w:val="24"/>
          <w:szCs w:val="24"/>
          <w:lang w:val="hy-AM"/>
        </w:rPr>
        <w:t>ընթացակարգեր</w:t>
      </w:r>
      <w:proofErr w:type="spellEnd"/>
      <w:r w:rsidRPr="001D754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="005A51F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Այսինքն </w:t>
      </w:r>
      <w:r w:rsidR="005A51F5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բավարար չէ միայն իրավունքի ճանաչումը, այն անհրաժեշտ է հստակորեն սահմանել այն </w:t>
      </w:r>
      <w:proofErr w:type="spellStart"/>
      <w:r w:rsidR="005A51F5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կառուցակարգերը</w:t>
      </w:r>
      <w:proofErr w:type="spellEnd"/>
      <w:r w:rsidR="005A51F5">
        <w:rPr>
          <w:rFonts w:ascii="GHEA Grapalat" w:hAnsi="GHEA Grapalat"/>
          <w:color w:val="000000" w:themeColor="text1"/>
          <w:sz w:val="24"/>
          <w:szCs w:val="24"/>
          <w:lang w:val="hy-AM"/>
        </w:rPr>
        <w:t>, որոնք պետք է ապահովեն այդ իրավունքների իրացումը:</w:t>
      </w:r>
    </w:p>
    <w:p w:rsidR="005A51F5" w:rsidRDefault="00131F91" w:rsidP="00131F91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Պ</w:t>
      </w:r>
      <w:r w:rsidRPr="00C21F2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ետության կողմից անհրաժեշտ կազմակերպական </w:t>
      </w:r>
      <w:proofErr w:type="spellStart"/>
      <w:r w:rsidRPr="00C21F2B">
        <w:rPr>
          <w:rFonts w:ascii="GHEA Grapalat" w:hAnsi="GHEA Grapalat"/>
          <w:color w:val="000000" w:themeColor="text1"/>
          <w:sz w:val="24"/>
          <w:szCs w:val="24"/>
          <w:lang w:val="hy-AM"/>
        </w:rPr>
        <w:t>կառուցակարգեր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proofErr w:type="spellEnd"/>
      <w:r w:rsidRPr="00C21F2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մեխանիզմներ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ի սահմանումը կարող է լինել այն գործիքը, որը կապահովի անձի՝</w:t>
      </w:r>
      <w:r w:rsidRPr="00131F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C21F2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րավունքների և օրինական շահերի արդյունավետ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իրականացումն</w:t>
      </w:r>
      <w:r w:rsidRPr="00C21F2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որոնք</w:t>
      </w:r>
      <w:r w:rsidRPr="00C21F2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ստեղծված իրավիճակում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բավարար չեն</w:t>
      </w:r>
      <w:r w:rsidRPr="00C21F2B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131F91" w:rsidRPr="00FF44F7" w:rsidRDefault="005A51F5" w:rsidP="00131F91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131F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Արդյունքում, պատշաճ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օրենսդրական </w:t>
      </w:r>
      <w:r w:rsidR="00131F91">
        <w:rPr>
          <w:rFonts w:ascii="GHEA Grapalat" w:hAnsi="GHEA Grapalat"/>
          <w:color w:val="000000" w:themeColor="text1"/>
          <w:sz w:val="24"/>
          <w:szCs w:val="24"/>
          <w:lang w:val="hy-AM"/>
        </w:rPr>
        <w:t>մեխանիզմների անբավարարության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, ինչպես նաև գործնականում դրանց կիրառության</w:t>
      </w:r>
      <w:r w:rsidR="00131F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պատճառով է, որ այս դեպքում անձը զրկվել է իրականացնել անձնական անձեռնմխելիության իր հիմնարար իրավունքը։ </w:t>
      </w:r>
    </w:p>
    <w:p w:rsidR="000C66BA" w:rsidRDefault="000C66BA" w:rsidP="00B1612C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A51F5" w:rsidRDefault="005A51F5" w:rsidP="00B1612C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A51F5" w:rsidRPr="001D754A" w:rsidRDefault="005A51F5" w:rsidP="00B1612C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D754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ՀՀ մարդու իրավունքների պաշտպանի աշխատակազմ</w:t>
      </w:r>
    </w:p>
    <w:sectPr w:rsidR="005A51F5" w:rsidRPr="001D754A" w:rsidSect="003857DE">
      <w:footerReference w:type="default" r:id="rId8"/>
      <w:pgSz w:w="12240" w:h="15840"/>
      <w:pgMar w:top="1134" w:right="990" w:bottom="126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7A" w:rsidRDefault="0075747A" w:rsidP="00C314D8">
      <w:pPr>
        <w:spacing w:after="0" w:line="240" w:lineRule="auto"/>
      </w:pPr>
      <w:r>
        <w:separator/>
      </w:r>
    </w:p>
  </w:endnote>
  <w:endnote w:type="continuationSeparator" w:id="0">
    <w:p w:rsidR="0075747A" w:rsidRDefault="0075747A" w:rsidP="00C3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841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2D3" w:rsidRDefault="006B02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8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02D3" w:rsidRDefault="006B0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7A" w:rsidRDefault="0075747A" w:rsidP="00C314D8">
      <w:pPr>
        <w:spacing w:after="0" w:line="240" w:lineRule="auto"/>
      </w:pPr>
      <w:r>
        <w:separator/>
      </w:r>
    </w:p>
  </w:footnote>
  <w:footnote w:type="continuationSeparator" w:id="0">
    <w:p w:rsidR="0075747A" w:rsidRDefault="0075747A" w:rsidP="00C314D8">
      <w:pPr>
        <w:spacing w:after="0" w:line="240" w:lineRule="auto"/>
      </w:pPr>
      <w:r>
        <w:continuationSeparator/>
      </w:r>
    </w:p>
  </w:footnote>
  <w:footnote w:id="1">
    <w:p w:rsidR="00A15C65" w:rsidRPr="005A51F5" w:rsidRDefault="00A15C65" w:rsidP="00F1281D">
      <w:pPr>
        <w:pStyle w:val="FootnoteText"/>
        <w:jc w:val="both"/>
        <w:rPr>
          <w:rFonts w:ascii="GHEA Grapalat" w:hAnsi="GHEA Grapalat"/>
          <w:lang w:val="hy-AM"/>
        </w:rPr>
      </w:pPr>
      <w:r w:rsidRPr="005A51F5">
        <w:rPr>
          <w:rStyle w:val="FootnoteReference"/>
          <w:rFonts w:ascii="GHEA Grapalat" w:hAnsi="GHEA Grapalat"/>
        </w:rPr>
        <w:footnoteRef/>
      </w:r>
      <w:r w:rsidRPr="005A51F5">
        <w:rPr>
          <w:rFonts w:ascii="GHEA Grapalat" w:hAnsi="GHEA Grapalat"/>
        </w:rPr>
        <w:t xml:space="preserve"> </w:t>
      </w:r>
      <w:r w:rsidRPr="005A51F5">
        <w:rPr>
          <w:rFonts w:ascii="GHEA Grapalat" w:hAnsi="GHEA Grapalat"/>
          <w:lang w:val="hy-AM"/>
        </w:rPr>
        <w:t>Այսուհետ՝ Օրենսգիրք</w:t>
      </w:r>
    </w:p>
  </w:footnote>
  <w:footnote w:id="2">
    <w:p w:rsidR="00D2274D" w:rsidRPr="005A51F5" w:rsidRDefault="00D2274D" w:rsidP="00F1281D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A51F5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footnoteRef/>
      </w:r>
      <w:r w:rsidRPr="005A51F5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="004C2AA3" w:rsidRPr="005A51F5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Այսուհետ՝ Կոնվենցիա</w:t>
      </w:r>
    </w:p>
  </w:footnote>
  <w:footnote w:id="3">
    <w:p w:rsidR="00D2274D" w:rsidRPr="005A51F5" w:rsidRDefault="00D2274D" w:rsidP="00F1281D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A51F5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footnoteRef/>
      </w:r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Այսուհետ՝ </w:t>
      </w:r>
      <w:proofErr w:type="spellStart"/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Եվրոպական</w:t>
      </w:r>
      <w:proofErr w:type="spellEnd"/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դ</w:t>
      </w:r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ատարան</w:t>
      </w:r>
    </w:p>
  </w:footnote>
  <w:footnote w:id="4">
    <w:p w:rsidR="00B023C8" w:rsidRPr="005A51F5" w:rsidRDefault="00B023C8" w:rsidP="00F1281D">
      <w:pPr>
        <w:pStyle w:val="FootnoteText"/>
        <w:jc w:val="both"/>
        <w:rPr>
          <w:rFonts w:ascii="GHEA Grapalat" w:hAnsi="GHEA Grapalat" w:cs="Sylfaen"/>
        </w:rPr>
      </w:pPr>
      <w:r w:rsidRPr="005A51F5">
        <w:rPr>
          <w:rStyle w:val="FootnoteReference"/>
          <w:rFonts w:ascii="GHEA Grapalat" w:hAnsi="GHEA Grapalat"/>
        </w:rPr>
        <w:footnoteRef/>
      </w:r>
      <w:r w:rsidRPr="005A51F5">
        <w:rPr>
          <w:rFonts w:ascii="GHEA Grapalat" w:hAnsi="GHEA Grapalat"/>
        </w:rPr>
        <w:t xml:space="preserve"> </w:t>
      </w:r>
      <w:proofErr w:type="spellStart"/>
      <w:r w:rsidRPr="005A51F5">
        <w:rPr>
          <w:rFonts w:ascii="GHEA Grapalat" w:hAnsi="GHEA Grapalat" w:cs="Sylfaen"/>
        </w:rPr>
        <w:t>Տես</w:t>
      </w:r>
      <w:proofErr w:type="spellEnd"/>
      <w:r w:rsidRPr="005A51F5">
        <w:rPr>
          <w:rFonts w:ascii="GHEA Grapalat" w:hAnsi="GHEA Grapalat" w:cs="Sylfaen"/>
        </w:rPr>
        <w:t xml:space="preserve"> ՄԻԵԴ </w:t>
      </w:r>
      <w:proofErr w:type="spellStart"/>
      <w:r w:rsidRPr="005A51F5">
        <w:rPr>
          <w:rFonts w:ascii="GHEA Grapalat" w:hAnsi="GHEA Grapalat" w:cs="Sylfaen"/>
        </w:rPr>
        <w:t>որոշումը</w:t>
      </w:r>
      <w:proofErr w:type="spellEnd"/>
      <w:r w:rsidRPr="005A51F5">
        <w:rPr>
          <w:rFonts w:ascii="GHEA Grapalat" w:hAnsi="GHEA Grapalat"/>
        </w:rPr>
        <w:t xml:space="preserve"> </w:t>
      </w:r>
      <w:proofErr w:type="spellStart"/>
      <w:r w:rsidRPr="005A51F5">
        <w:rPr>
          <w:rFonts w:ascii="GHEA Grapalat" w:hAnsi="GHEA Grapalat" w:cs="Sylfaen"/>
        </w:rPr>
        <w:t>Buzadji</w:t>
      </w:r>
      <w:proofErr w:type="spellEnd"/>
      <w:r w:rsidRPr="005A51F5">
        <w:rPr>
          <w:rFonts w:ascii="GHEA Grapalat" w:hAnsi="GHEA Grapalat" w:cs="Sylfaen"/>
        </w:rPr>
        <w:t xml:space="preserve"> v. The Republic of Moldova, application no. 23755/07, 05/07/2016, para. 89</w:t>
      </w:r>
    </w:p>
  </w:footnote>
  <w:footnote w:id="5">
    <w:p w:rsidR="00B023C8" w:rsidRPr="00417D22" w:rsidRDefault="00B023C8" w:rsidP="00F1281D">
      <w:pPr>
        <w:pStyle w:val="FootnoteText"/>
        <w:jc w:val="both"/>
        <w:rPr>
          <w:rFonts w:ascii="GHEA Grapalat" w:hAnsi="GHEA Grapalat"/>
          <w:lang w:val="hy-AM"/>
        </w:rPr>
      </w:pPr>
      <w:r w:rsidRPr="005A51F5">
        <w:rPr>
          <w:rStyle w:val="FootnoteReference"/>
          <w:rFonts w:ascii="GHEA Grapalat" w:hAnsi="GHEA Grapalat"/>
        </w:rPr>
        <w:footnoteRef/>
      </w:r>
      <w:r w:rsidRPr="005A51F5">
        <w:rPr>
          <w:rFonts w:ascii="GHEA Grapalat" w:hAnsi="GHEA Grapalat"/>
        </w:rPr>
        <w:t xml:space="preserve"> </w:t>
      </w:r>
      <w:proofErr w:type="spellStart"/>
      <w:r w:rsidRPr="005A51F5">
        <w:rPr>
          <w:rFonts w:ascii="GHEA Grapalat" w:hAnsi="GHEA Grapalat" w:cs="Sylfaen"/>
        </w:rPr>
        <w:t>Տե</w:t>
      </w:r>
      <w:proofErr w:type="spellEnd"/>
      <w:r w:rsidR="00417D22">
        <w:rPr>
          <w:rFonts w:ascii="GHEA Grapalat" w:hAnsi="GHEA Grapalat" w:cs="Sylfaen"/>
          <w:lang w:val="hy-AM"/>
        </w:rPr>
        <w:t>՛</w:t>
      </w:r>
      <w:r w:rsidRPr="005A51F5">
        <w:rPr>
          <w:rFonts w:ascii="GHEA Grapalat" w:hAnsi="GHEA Grapalat" w:cs="Sylfaen"/>
        </w:rPr>
        <w:t xml:space="preserve">ս </w:t>
      </w:r>
      <w:proofErr w:type="spellStart"/>
      <w:r w:rsidR="00417D22">
        <w:rPr>
          <w:rFonts w:ascii="GHEA Grapalat" w:hAnsi="GHEA Grapalat" w:cs="Sylfaen"/>
          <w:lang w:val="hy-AM"/>
        </w:rPr>
        <w:t>Բուզաջին</w:t>
      </w:r>
      <w:proofErr w:type="spellEnd"/>
      <w:r w:rsidR="00417D22">
        <w:rPr>
          <w:rFonts w:ascii="GHEA Grapalat" w:hAnsi="GHEA Grapalat" w:cs="Sylfaen"/>
          <w:lang w:val="hy-AM"/>
        </w:rPr>
        <w:t xml:space="preserve"> ընդդեմ Մոլդովայի </w:t>
      </w:r>
      <w:r w:rsidR="00417D22" w:rsidRPr="00417D22">
        <w:rPr>
          <w:rFonts w:ascii="GHEA Grapalat" w:hAnsi="GHEA Grapalat" w:cs="Sylfaen"/>
        </w:rPr>
        <w:t>(</w:t>
      </w:r>
      <w:proofErr w:type="spellStart"/>
      <w:r w:rsidRPr="005A51F5">
        <w:rPr>
          <w:rFonts w:ascii="GHEA Grapalat" w:hAnsi="GHEA Grapalat" w:cs="Sylfaen"/>
        </w:rPr>
        <w:t>Buzadji</w:t>
      </w:r>
      <w:proofErr w:type="spellEnd"/>
      <w:r w:rsidRPr="005A51F5">
        <w:rPr>
          <w:rFonts w:ascii="GHEA Grapalat" w:hAnsi="GHEA Grapalat" w:cs="Sylfaen"/>
        </w:rPr>
        <w:t xml:space="preserve"> v. The Republic of Moldova</w:t>
      </w:r>
      <w:r w:rsidR="00417D22" w:rsidRPr="00417D22">
        <w:rPr>
          <w:rFonts w:ascii="GHEA Grapalat" w:hAnsi="GHEA Grapalat" w:cs="Sylfaen"/>
        </w:rPr>
        <w:t>)</w:t>
      </w:r>
      <w:r w:rsidR="00417D22">
        <w:rPr>
          <w:rFonts w:ascii="GHEA Grapalat" w:hAnsi="GHEA Grapalat" w:cs="Sylfaen"/>
        </w:rPr>
        <w:t xml:space="preserve"> 2016 </w:t>
      </w:r>
      <w:proofErr w:type="spellStart"/>
      <w:r w:rsidR="00417D22">
        <w:rPr>
          <w:rFonts w:ascii="GHEA Grapalat" w:hAnsi="GHEA Grapalat" w:cs="Sylfaen"/>
        </w:rPr>
        <w:t>թվականի</w:t>
      </w:r>
      <w:proofErr w:type="spellEnd"/>
      <w:r w:rsidR="00417D22">
        <w:rPr>
          <w:rFonts w:ascii="GHEA Grapalat" w:hAnsi="GHEA Grapalat" w:cs="Sylfaen"/>
        </w:rPr>
        <w:t xml:space="preserve"> </w:t>
      </w:r>
      <w:proofErr w:type="spellStart"/>
      <w:r w:rsidR="00417D22">
        <w:rPr>
          <w:rFonts w:ascii="GHEA Grapalat" w:hAnsi="GHEA Grapalat" w:cs="Sylfaen"/>
        </w:rPr>
        <w:t>հուլիսի</w:t>
      </w:r>
      <w:proofErr w:type="spellEnd"/>
      <w:r w:rsidR="00417D22">
        <w:rPr>
          <w:rFonts w:ascii="GHEA Grapalat" w:hAnsi="GHEA Grapalat" w:cs="Sylfaen"/>
        </w:rPr>
        <w:t xml:space="preserve"> 5-ր </w:t>
      </w:r>
      <w:proofErr w:type="spellStart"/>
      <w:r w:rsidR="00417D22">
        <w:rPr>
          <w:rFonts w:ascii="GHEA Grapalat" w:hAnsi="GHEA Grapalat" w:cs="Sylfaen"/>
        </w:rPr>
        <w:t>վճիռը</w:t>
      </w:r>
      <w:proofErr w:type="spellEnd"/>
      <w:r w:rsidR="00417D22">
        <w:rPr>
          <w:rFonts w:ascii="GHEA Grapalat" w:hAnsi="GHEA Grapalat" w:cs="Sylfaen"/>
        </w:rPr>
        <w:t xml:space="preserve">, </w:t>
      </w:r>
      <w:proofErr w:type="spellStart"/>
      <w:r w:rsidR="00417D22">
        <w:rPr>
          <w:rFonts w:ascii="GHEA Grapalat" w:hAnsi="GHEA Grapalat" w:cs="Sylfaen"/>
        </w:rPr>
        <w:t>գանգատ</w:t>
      </w:r>
      <w:proofErr w:type="spellEnd"/>
      <w:r w:rsidR="00417D22">
        <w:rPr>
          <w:rFonts w:ascii="GHEA Grapalat" w:hAnsi="GHEA Grapalat" w:cs="Sylfaen"/>
        </w:rPr>
        <w:t xml:space="preserve"> </w:t>
      </w:r>
      <w:proofErr w:type="spellStart"/>
      <w:r w:rsidR="00417D22">
        <w:rPr>
          <w:rFonts w:ascii="GHEA Grapalat" w:hAnsi="GHEA Grapalat" w:cs="Sylfaen"/>
        </w:rPr>
        <w:t>թիվ</w:t>
      </w:r>
      <w:proofErr w:type="spellEnd"/>
      <w:r w:rsidR="00417D22">
        <w:rPr>
          <w:rFonts w:ascii="GHEA Grapalat" w:hAnsi="GHEA Grapalat" w:cs="Sylfaen"/>
        </w:rPr>
        <w:t xml:space="preserve"> </w:t>
      </w:r>
      <w:r w:rsidRPr="005A51F5">
        <w:rPr>
          <w:rFonts w:ascii="GHEA Grapalat" w:hAnsi="GHEA Grapalat" w:cs="Sylfaen"/>
        </w:rPr>
        <w:t>23755/</w:t>
      </w:r>
      <w:proofErr w:type="gramStart"/>
      <w:r w:rsidRPr="005A51F5">
        <w:rPr>
          <w:rFonts w:ascii="GHEA Grapalat" w:hAnsi="GHEA Grapalat" w:cs="Sylfaen"/>
        </w:rPr>
        <w:t>07,</w:t>
      </w:r>
      <w:r w:rsidR="00417D22">
        <w:rPr>
          <w:rFonts w:ascii="GHEA Grapalat" w:hAnsi="GHEA Grapalat" w:cs="Sylfaen"/>
        </w:rPr>
        <w:t>կետ</w:t>
      </w:r>
      <w:proofErr w:type="gramEnd"/>
      <w:r w:rsidRPr="005A51F5">
        <w:rPr>
          <w:rFonts w:ascii="GHEA Grapalat" w:hAnsi="GHEA Grapalat" w:cs="Sylfaen"/>
        </w:rPr>
        <w:t xml:space="preserve"> 84</w:t>
      </w:r>
      <w:r w:rsidR="00417D22">
        <w:rPr>
          <w:rFonts w:ascii="GHEA Grapalat" w:hAnsi="GHEA Grapalat" w:cs="Sylfaen"/>
          <w:lang w:val="hy-AM"/>
        </w:rPr>
        <w:t>։</w:t>
      </w:r>
      <w:bookmarkStart w:id="0" w:name="_GoBack"/>
      <w:bookmarkEnd w:id="0"/>
    </w:p>
  </w:footnote>
  <w:footnote w:id="6">
    <w:p w:rsidR="00D2274D" w:rsidRPr="005A51F5" w:rsidRDefault="00D2274D" w:rsidP="00F1281D">
      <w:pPr>
        <w:tabs>
          <w:tab w:val="left" w:pos="0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A51F5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footnoteRef/>
      </w:r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proofErr w:type="spellStart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Տե</w:t>
      </w:r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՛</w:t>
      </w:r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ս</w:t>
      </w:r>
      <w:proofErr w:type="spellEnd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proofErr w:type="spellStart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Ասանիձն</w:t>
      </w:r>
      <w:proofErr w:type="spellEnd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ընդդեմ Վրաստանի </w:t>
      </w:r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(</w:t>
      </w:r>
      <w:proofErr w:type="spellStart"/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Assanidze</w:t>
      </w:r>
      <w:proofErr w:type="spellEnd"/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v. </w:t>
      </w:r>
      <w:proofErr w:type="spellStart"/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Georgia</w:t>
      </w:r>
      <w:proofErr w:type="spellEnd"/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)</w:t>
      </w:r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2004 թվականի ապրիլի 8-ի </w:t>
      </w:r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վճիռը, գանգատ թիվ</w:t>
      </w:r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71503/01, </w:t>
      </w:r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կետ</w:t>
      </w:r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173</w:t>
      </w:r>
      <w:r w:rsidR="00ED4E8C"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:</w:t>
      </w:r>
    </w:p>
  </w:footnote>
  <w:footnote w:id="7">
    <w:p w:rsidR="00ED4E8C" w:rsidRPr="005A51F5" w:rsidRDefault="00ED4E8C" w:rsidP="00F1281D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A51F5">
        <w:rPr>
          <w:rStyle w:val="FootnoteReference"/>
          <w:rFonts w:ascii="GHEA Grapalat" w:hAnsi="GHEA Grapalat"/>
          <w:sz w:val="20"/>
          <w:szCs w:val="20"/>
        </w:rPr>
        <w:footnoteRef/>
      </w:r>
      <w:r w:rsidRPr="005A51F5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5A51F5">
        <w:rPr>
          <w:rFonts w:ascii="GHEA Grapalat" w:hAnsi="GHEA Grapalat"/>
          <w:sz w:val="20"/>
          <w:szCs w:val="20"/>
          <w:lang w:val="hy-AM"/>
        </w:rPr>
        <w:t>Տե՛ս</w:t>
      </w:r>
      <w:proofErr w:type="spellEnd"/>
      <w:r w:rsidRPr="005A51F5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Ջիուլիա</w:t>
      </w:r>
      <w:proofErr w:type="spellEnd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proofErr w:type="spellStart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Մանցոնին</w:t>
      </w:r>
      <w:proofErr w:type="spellEnd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ընդդեմ Իտալիայի (</w:t>
      </w:r>
      <w:proofErr w:type="spellStart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Giulia</w:t>
      </w:r>
      <w:proofErr w:type="spellEnd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proofErr w:type="spellStart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Manzoni</w:t>
      </w:r>
      <w:proofErr w:type="spellEnd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v. </w:t>
      </w:r>
      <w:proofErr w:type="spellStart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Italy</w:t>
      </w:r>
      <w:proofErr w:type="spellEnd"/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1997 թվականի հուլիսի 1-ի վճիռը, գանգատ թիվ </w:t>
      </w:r>
      <w:hyperlink r:id="rId1" w:anchor="{&quot;appno&quot;:[&quot;19218/91&quot;]}" w:tgtFrame="_blank" w:history="1">
        <w:r w:rsidRPr="005A51F5">
          <w:rPr>
            <w:rFonts w:ascii="GHEA Grapalat" w:hAnsi="GHEA Grapalat"/>
            <w:color w:val="000000" w:themeColor="text1"/>
            <w:sz w:val="20"/>
            <w:szCs w:val="20"/>
            <w:lang w:val="hy-AM"/>
          </w:rPr>
          <w:t>19218/91</w:t>
        </w:r>
      </w:hyperlink>
      <w:r w:rsidRPr="005A51F5">
        <w:rPr>
          <w:rFonts w:ascii="GHEA Grapalat" w:hAnsi="GHEA Grapalat"/>
          <w:color w:val="000000" w:themeColor="text1"/>
          <w:sz w:val="20"/>
          <w:szCs w:val="20"/>
          <w:lang w:val="hy-AM"/>
        </w:rPr>
        <w:t>, կետ 25։</w:t>
      </w:r>
    </w:p>
  </w:footnote>
  <w:footnote w:id="8">
    <w:p w:rsidR="00C20CEE" w:rsidRPr="005A51F5" w:rsidRDefault="00C20CEE" w:rsidP="00F1281D">
      <w:pPr>
        <w:pStyle w:val="FootnoteText"/>
        <w:jc w:val="both"/>
        <w:rPr>
          <w:rFonts w:ascii="GHEA Grapalat" w:hAnsi="GHEA Grapalat"/>
          <w:lang w:val="hy-AM"/>
        </w:rPr>
      </w:pPr>
      <w:r w:rsidRPr="005A51F5">
        <w:rPr>
          <w:rStyle w:val="FootnoteReference"/>
          <w:rFonts w:ascii="GHEA Grapalat" w:hAnsi="GHEA Grapalat"/>
        </w:rPr>
        <w:footnoteRef/>
      </w:r>
      <w:r w:rsidRPr="005A51F5">
        <w:rPr>
          <w:rFonts w:ascii="GHEA Grapalat" w:hAnsi="GHEA Grapalat"/>
          <w:lang w:val="hy-AM"/>
        </w:rPr>
        <w:t xml:space="preserve"> </w:t>
      </w:r>
      <w:proofErr w:type="spellStart"/>
      <w:r w:rsidRPr="005A51F5">
        <w:rPr>
          <w:rFonts w:ascii="GHEA Grapalat" w:hAnsi="GHEA Grapalat"/>
          <w:lang w:val="hy-AM"/>
        </w:rPr>
        <w:t>Տե՛ս</w:t>
      </w:r>
      <w:proofErr w:type="spellEnd"/>
      <w:r w:rsidRPr="005A51F5">
        <w:rPr>
          <w:rFonts w:ascii="GHEA Grapalat" w:hAnsi="GHEA Grapalat"/>
          <w:lang w:val="hy-AM"/>
        </w:rPr>
        <w:t xml:space="preserve"> </w:t>
      </w:r>
      <w:proofErr w:type="spellStart"/>
      <w:r w:rsidRPr="005A51F5">
        <w:rPr>
          <w:rFonts w:ascii="GHEA Grapalat" w:hAnsi="GHEA Grapalat"/>
          <w:lang w:val="hy-AM"/>
        </w:rPr>
        <w:t>Քուինն</w:t>
      </w:r>
      <w:proofErr w:type="spellEnd"/>
      <w:r w:rsidRPr="005A51F5">
        <w:rPr>
          <w:rFonts w:ascii="GHEA Grapalat" w:hAnsi="GHEA Grapalat"/>
          <w:lang w:val="hy-AM"/>
        </w:rPr>
        <w:t xml:space="preserve"> ընդդեմ Ֆրանսիայի (</w:t>
      </w:r>
      <w:proofErr w:type="spellStart"/>
      <w:r w:rsidRPr="005A51F5">
        <w:rPr>
          <w:rFonts w:ascii="GHEA Grapalat" w:hAnsi="GHEA Grapalat"/>
          <w:lang w:val="hy-AM"/>
        </w:rPr>
        <w:t>Quinn</w:t>
      </w:r>
      <w:proofErr w:type="spellEnd"/>
      <w:r w:rsidRPr="005A51F5">
        <w:rPr>
          <w:rFonts w:ascii="GHEA Grapalat" w:hAnsi="GHEA Grapalat"/>
          <w:lang w:val="hy-AM"/>
        </w:rPr>
        <w:t xml:space="preserve"> v. </w:t>
      </w:r>
      <w:proofErr w:type="spellStart"/>
      <w:r w:rsidRPr="005A51F5">
        <w:rPr>
          <w:rFonts w:ascii="GHEA Grapalat" w:hAnsi="GHEA Grapalat"/>
          <w:lang w:val="hy-AM"/>
        </w:rPr>
        <w:t>France</w:t>
      </w:r>
      <w:proofErr w:type="spellEnd"/>
      <w:r w:rsidRPr="005A51F5">
        <w:rPr>
          <w:rFonts w:ascii="GHEA Grapalat" w:hAnsi="GHEA Grapalat"/>
          <w:lang w:val="hy-AM"/>
        </w:rPr>
        <w:t xml:space="preserve">) 1995 թվականի  մարտի 22-ի վճիռը, գանգատ թիվ </w:t>
      </w:r>
      <w:r w:rsidRPr="005A51F5">
        <w:rPr>
          <w:rStyle w:val="textcolumn"/>
          <w:rFonts w:ascii="GHEA Grapalat" w:hAnsi="GHEA Grapalat" w:cs="Arial"/>
          <w:color w:val="000000"/>
          <w:shd w:val="clear" w:color="auto" w:fill="FFFFFF"/>
          <w:lang w:val="hy-AM"/>
        </w:rPr>
        <w:t>18580/91</w:t>
      </w:r>
      <w:r w:rsidRPr="005A51F5">
        <w:rPr>
          <w:rStyle w:val="summarytext"/>
          <w:rFonts w:ascii="GHEA Grapalat" w:hAnsi="GHEA Grapalat" w:cs="Arial"/>
          <w:color w:val="000000"/>
          <w:shd w:val="clear" w:color="auto" w:fill="FFFFFF"/>
          <w:lang w:val="hy-AM"/>
        </w:rPr>
        <w:t>, կետեր 39-43։</w:t>
      </w:r>
    </w:p>
  </w:footnote>
  <w:footnote w:id="9">
    <w:p w:rsidR="00B023C8" w:rsidRPr="005A51F5" w:rsidRDefault="00B023C8" w:rsidP="00F1281D">
      <w:pPr>
        <w:pStyle w:val="FootnoteText"/>
        <w:jc w:val="both"/>
        <w:rPr>
          <w:rFonts w:ascii="GHEA Grapalat" w:hAnsi="GHEA Grapalat" w:cs="Sylfaen"/>
          <w:lang w:val="hy-AM"/>
        </w:rPr>
      </w:pPr>
      <w:r w:rsidRPr="005A51F5">
        <w:rPr>
          <w:rStyle w:val="FootnoteReference"/>
          <w:rFonts w:ascii="GHEA Grapalat" w:hAnsi="GHEA Grapalat"/>
        </w:rPr>
        <w:footnoteRef/>
      </w:r>
      <w:r w:rsidRPr="005A51F5">
        <w:rPr>
          <w:rFonts w:ascii="GHEA Grapalat" w:hAnsi="GHEA Grapalat"/>
          <w:lang w:val="hy-AM"/>
        </w:rPr>
        <w:t xml:space="preserve"> </w:t>
      </w:r>
      <w:proofErr w:type="spellStart"/>
      <w:r w:rsidRPr="005A51F5">
        <w:rPr>
          <w:rFonts w:ascii="GHEA Grapalat" w:hAnsi="GHEA Grapalat" w:cs="Sylfaen"/>
          <w:lang w:val="hy-AM"/>
        </w:rPr>
        <w:t>Տե</w:t>
      </w:r>
      <w:r w:rsidR="00FF44F7" w:rsidRPr="005A51F5">
        <w:rPr>
          <w:rFonts w:ascii="GHEA Grapalat" w:hAnsi="GHEA Grapalat" w:cs="Sylfaen"/>
          <w:lang w:val="hy-AM"/>
        </w:rPr>
        <w:t>՛</w:t>
      </w:r>
      <w:r w:rsidRPr="005A51F5">
        <w:rPr>
          <w:rFonts w:ascii="GHEA Grapalat" w:hAnsi="GHEA Grapalat" w:cs="Sylfaen"/>
          <w:lang w:val="hy-AM"/>
        </w:rPr>
        <w:t>ս</w:t>
      </w:r>
      <w:proofErr w:type="spellEnd"/>
      <w:r w:rsidRPr="005A51F5">
        <w:rPr>
          <w:rFonts w:ascii="GHEA Grapalat" w:hAnsi="GHEA Grapalat" w:cs="Sylfaen"/>
          <w:lang w:val="hy-AM"/>
        </w:rPr>
        <w:t xml:space="preserve"> </w:t>
      </w:r>
      <w:proofErr w:type="spellStart"/>
      <w:r w:rsidR="00FF44F7" w:rsidRPr="005A51F5">
        <w:rPr>
          <w:rFonts w:ascii="GHEA Grapalat" w:hAnsi="GHEA Grapalat" w:cs="Sylfaen"/>
          <w:lang w:val="hy-AM"/>
        </w:rPr>
        <w:t>Փիրուզյանն</w:t>
      </w:r>
      <w:proofErr w:type="spellEnd"/>
      <w:r w:rsidR="00FF44F7" w:rsidRPr="005A51F5">
        <w:rPr>
          <w:rFonts w:ascii="GHEA Grapalat" w:hAnsi="GHEA Grapalat" w:cs="Sylfaen"/>
          <w:lang w:val="hy-AM"/>
        </w:rPr>
        <w:t xml:space="preserve"> ընդդեմ Հայաստանի (</w:t>
      </w:r>
      <w:proofErr w:type="spellStart"/>
      <w:r w:rsidRPr="005A51F5">
        <w:rPr>
          <w:rFonts w:ascii="GHEA Grapalat" w:hAnsi="GHEA Grapalat" w:cs="Sylfaen"/>
          <w:lang w:val="hy-AM"/>
        </w:rPr>
        <w:t>Piruzyan</w:t>
      </w:r>
      <w:proofErr w:type="spellEnd"/>
      <w:r w:rsidRPr="005A51F5">
        <w:rPr>
          <w:rFonts w:ascii="GHEA Grapalat" w:hAnsi="GHEA Grapalat" w:cs="Sylfaen"/>
          <w:lang w:val="hy-AM"/>
        </w:rPr>
        <w:t xml:space="preserve"> v. Armenia</w:t>
      </w:r>
      <w:r w:rsidR="00FF44F7" w:rsidRPr="005A51F5">
        <w:rPr>
          <w:rFonts w:ascii="GHEA Grapalat" w:hAnsi="GHEA Grapalat" w:cs="Sylfaen"/>
          <w:lang w:val="hy-AM"/>
        </w:rPr>
        <w:t>) 2012 թվականի հունիսի 26-ի որոշումը, գանգատ թիվ</w:t>
      </w:r>
      <w:r w:rsidRPr="005A51F5">
        <w:rPr>
          <w:rFonts w:ascii="GHEA Grapalat" w:hAnsi="GHEA Grapalat" w:cs="Sylfaen"/>
          <w:lang w:val="hy-AM"/>
        </w:rPr>
        <w:t xml:space="preserve"> 33376/07, </w:t>
      </w:r>
      <w:r w:rsidR="00FF44F7" w:rsidRPr="005A51F5">
        <w:rPr>
          <w:rFonts w:ascii="GHEA Grapalat" w:hAnsi="GHEA Grapalat" w:cs="Sylfaen"/>
          <w:lang w:val="hy-AM"/>
        </w:rPr>
        <w:t>կետ</w:t>
      </w:r>
      <w:r w:rsidRPr="005A51F5">
        <w:rPr>
          <w:rFonts w:ascii="GHEA Grapalat" w:hAnsi="GHEA Grapalat" w:cs="Sylfaen"/>
          <w:lang w:val="hy-AM"/>
        </w:rPr>
        <w:t xml:space="preserve"> 80</w:t>
      </w:r>
      <w:r w:rsidR="00FF44F7" w:rsidRPr="005A51F5">
        <w:rPr>
          <w:rFonts w:ascii="GHEA Grapalat" w:hAnsi="GHEA Grapalat" w:cs="Sylfaen"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A39"/>
    <w:multiLevelType w:val="hybridMultilevel"/>
    <w:tmpl w:val="5F12BCE6"/>
    <w:lvl w:ilvl="0" w:tplc="7A72CBE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F7A44"/>
    <w:multiLevelType w:val="hybridMultilevel"/>
    <w:tmpl w:val="E598BA8E"/>
    <w:lvl w:ilvl="0" w:tplc="8190E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C7"/>
    <w:rsid w:val="00015785"/>
    <w:rsid w:val="0003650F"/>
    <w:rsid w:val="00053D0A"/>
    <w:rsid w:val="000965B4"/>
    <w:rsid w:val="000A5A72"/>
    <w:rsid w:val="000A77DB"/>
    <w:rsid w:val="000C163A"/>
    <w:rsid w:val="000C66BA"/>
    <w:rsid w:val="000C7DE3"/>
    <w:rsid w:val="000E0367"/>
    <w:rsid w:val="00105AF9"/>
    <w:rsid w:val="0012232C"/>
    <w:rsid w:val="001230B9"/>
    <w:rsid w:val="00131F91"/>
    <w:rsid w:val="00150672"/>
    <w:rsid w:val="001949C0"/>
    <w:rsid w:val="00197B66"/>
    <w:rsid w:val="001B09F7"/>
    <w:rsid w:val="001D55F9"/>
    <w:rsid w:val="001D754A"/>
    <w:rsid w:val="001E6E00"/>
    <w:rsid w:val="001F513F"/>
    <w:rsid w:val="001F5FEA"/>
    <w:rsid w:val="002027FB"/>
    <w:rsid w:val="002264F7"/>
    <w:rsid w:val="00281E71"/>
    <w:rsid w:val="003076BF"/>
    <w:rsid w:val="003360CB"/>
    <w:rsid w:val="003408FF"/>
    <w:rsid w:val="00340DC2"/>
    <w:rsid w:val="00355224"/>
    <w:rsid w:val="003857DE"/>
    <w:rsid w:val="003861A4"/>
    <w:rsid w:val="003A6E47"/>
    <w:rsid w:val="003C5D90"/>
    <w:rsid w:val="003E6A34"/>
    <w:rsid w:val="00403C6D"/>
    <w:rsid w:val="00417D22"/>
    <w:rsid w:val="00433C87"/>
    <w:rsid w:val="00467F1C"/>
    <w:rsid w:val="00487BDA"/>
    <w:rsid w:val="004A4FB8"/>
    <w:rsid w:val="004A7002"/>
    <w:rsid w:val="004B6885"/>
    <w:rsid w:val="004C2AA3"/>
    <w:rsid w:val="004C5B08"/>
    <w:rsid w:val="004E228E"/>
    <w:rsid w:val="005415AF"/>
    <w:rsid w:val="0056442E"/>
    <w:rsid w:val="00564AB0"/>
    <w:rsid w:val="00583842"/>
    <w:rsid w:val="005A51F5"/>
    <w:rsid w:val="005B124A"/>
    <w:rsid w:val="005B5267"/>
    <w:rsid w:val="006166BA"/>
    <w:rsid w:val="0063295E"/>
    <w:rsid w:val="00653B8C"/>
    <w:rsid w:val="0069030D"/>
    <w:rsid w:val="006A664F"/>
    <w:rsid w:val="006B02D3"/>
    <w:rsid w:val="00745C1E"/>
    <w:rsid w:val="0075747A"/>
    <w:rsid w:val="00770ADF"/>
    <w:rsid w:val="00775DB6"/>
    <w:rsid w:val="00775ECE"/>
    <w:rsid w:val="00781AB9"/>
    <w:rsid w:val="0078408A"/>
    <w:rsid w:val="007B4E53"/>
    <w:rsid w:val="007C1406"/>
    <w:rsid w:val="007C1EA4"/>
    <w:rsid w:val="007D2ACB"/>
    <w:rsid w:val="007E4A65"/>
    <w:rsid w:val="007E68E0"/>
    <w:rsid w:val="00836BC5"/>
    <w:rsid w:val="00844993"/>
    <w:rsid w:val="008D722C"/>
    <w:rsid w:val="008F4549"/>
    <w:rsid w:val="00906166"/>
    <w:rsid w:val="00910612"/>
    <w:rsid w:val="00911B18"/>
    <w:rsid w:val="0091333A"/>
    <w:rsid w:val="009201CF"/>
    <w:rsid w:val="00935923"/>
    <w:rsid w:val="00944EAA"/>
    <w:rsid w:val="00946D26"/>
    <w:rsid w:val="00967DE5"/>
    <w:rsid w:val="00997BB0"/>
    <w:rsid w:val="009B0F24"/>
    <w:rsid w:val="009C36FD"/>
    <w:rsid w:val="00A15C65"/>
    <w:rsid w:val="00A229C2"/>
    <w:rsid w:val="00A41F02"/>
    <w:rsid w:val="00A45C30"/>
    <w:rsid w:val="00A922D7"/>
    <w:rsid w:val="00A936FF"/>
    <w:rsid w:val="00AD0003"/>
    <w:rsid w:val="00AE28C7"/>
    <w:rsid w:val="00AF6218"/>
    <w:rsid w:val="00B023C8"/>
    <w:rsid w:val="00B03296"/>
    <w:rsid w:val="00B10FD5"/>
    <w:rsid w:val="00B1612C"/>
    <w:rsid w:val="00B169AB"/>
    <w:rsid w:val="00B219B9"/>
    <w:rsid w:val="00B46335"/>
    <w:rsid w:val="00B52B3D"/>
    <w:rsid w:val="00B80F28"/>
    <w:rsid w:val="00B924A9"/>
    <w:rsid w:val="00BA52C6"/>
    <w:rsid w:val="00BE59FC"/>
    <w:rsid w:val="00C20CEE"/>
    <w:rsid w:val="00C21293"/>
    <w:rsid w:val="00C21F2B"/>
    <w:rsid w:val="00C23B89"/>
    <w:rsid w:val="00C24A61"/>
    <w:rsid w:val="00C314D8"/>
    <w:rsid w:val="00C552FC"/>
    <w:rsid w:val="00CB0EB4"/>
    <w:rsid w:val="00CC4D19"/>
    <w:rsid w:val="00CF1D1F"/>
    <w:rsid w:val="00D2274D"/>
    <w:rsid w:val="00D54540"/>
    <w:rsid w:val="00D85D40"/>
    <w:rsid w:val="00DA32F9"/>
    <w:rsid w:val="00DA7836"/>
    <w:rsid w:val="00DF4FB1"/>
    <w:rsid w:val="00E34C03"/>
    <w:rsid w:val="00E56295"/>
    <w:rsid w:val="00E67A1F"/>
    <w:rsid w:val="00E702E3"/>
    <w:rsid w:val="00E86342"/>
    <w:rsid w:val="00E97D33"/>
    <w:rsid w:val="00EB7AD1"/>
    <w:rsid w:val="00ED2D02"/>
    <w:rsid w:val="00ED4E8C"/>
    <w:rsid w:val="00ED6E0E"/>
    <w:rsid w:val="00EE247D"/>
    <w:rsid w:val="00EE3BAE"/>
    <w:rsid w:val="00F1281D"/>
    <w:rsid w:val="00F33D04"/>
    <w:rsid w:val="00F716E3"/>
    <w:rsid w:val="00F809B4"/>
    <w:rsid w:val="00F91827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8D421"/>
  <w15:chartTrackingRefBased/>
  <w15:docId w15:val="{F8F73839-A990-410D-8339-4C6FD5E6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31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4D8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314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1F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562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D3"/>
  </w:style>
  <w:style w:type="paragraph" w:styleId="Footer">
    <w:name w:val="footer"/>
    <w:basedOn w:val="Normal"/>
    <w:link w:val="Foot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D3"/>
  </w:style>
  <w:style w:type="paragraph" w:styleId="BalloonText">
    <w:name w:val="Balloon Text"/>
    <w:basedOn w:val="Normal"/>
    <w:link w:val="BalloonTextChar"/>
    <w:uiPriority w:val="99"/>
    <w:semiHidden/>
    <w:unhideWhenUsed/>
    <w:rsid w:val="00A4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02"/>
    <w:rPr>
      <w:rFonts w:ascii="Segoe UI" w:hAnsi="Segoe UI" w:cs="Segoe UI"/>
      <w:sz w:val="18"/>
      <w:szCs w:val="18"/>
    </w:rPr>
  </w:style>
  <w:style w:type="paragraph" w:customStyle="1" w:styleId="s32b251d">
    <w:name w:val="s32b251d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8d990e2">
    <w:name w:val="sb8d990e2"/>
    <w:basedOn w:val="DefaultParagraphFont"/>
    <w:rsid w:val="00467F1C"/>
  </w:style>
  <w:style w:type="character" w:customStyle="1" w:styleId="s7d2086b4">
    <w:name w:val="s7d2086b4"/>
    <w:basedOn w:val="DefaultParagraphFont"/>
    <w:rsid w:val="00467F1C"/>
  </w:style>
  <w:style w:type="character" w:customStyle="1" w:styleId="s6b621b36">
    <w:name w:val="s6b621b36"/>
    <w:basedOn w:val="DefaultParagraphFont"/>
    <w:rsid w:val="00467F1C"/>
  </w:style>
  <w:style w:type="character" w:styleId="Hyperlink">
    <w:name w:val="Hyperlink"/>
    <w:basedOn w:val="DefaultParagraphFont"/>
    <w:uiPriority w:val="99"/>
    <w:semiHidden/>
    <w:unhideWhenUsed/>
    <w:rsid w:val="00467F1C"/>
    <w:rPr>
      <w:color w:val="0000FF"/>
      <w:u w:val="single"/>
    </w:rPr>
  </w:style>
  <w:style w:type="paragraph" w:customStyle="1" w:styleId="s86e29719">
    <w:name w:val="s86e29719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66"/>
    <w:rPr>
      <w:b/>
      <w:bCs/>
      <w:sz w:val="20"/>
      <w:szCs w:val="20"/>
    </w:rPr>
  </w:style>
  <w:style w:type="character" w:customStyle="1" w:styleId="summarytext">
    <w:name w:val="summarytext"/>
    <w:basedOn w:val="DefaultParagraphFont"/>
    <w:rsid w:val="00C20CEE"/>
  </w:style>
  <w:style w:type="character" w:customStyle="1" w:styleId="textcolumn">
    <w:name w:val="textcolumn"/>
    <w:basedOn w:val="DefaultParagraphFont"/>
    <w:rsid w:val="00C2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doc.echr.coe.int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0B72-3A8B-4A4A-98BF-A127698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Melqonyan</dc:creator>
  <cp:keywords/>
  <dc:description/>
  <cp:lastModifiedBy>Tigran Melqonyan</cp:lastModifiedBy>
  <cp:revision>19</cp:revision>
  <cp:lastPrinted>2017-09-05T06:22:00Z</cp:lastPrinted>
  <dcterms:created xsi:type="dcterms:W3CDTF">2017-10-20T10:29:00Z</dcterms:created>
  <dcterms:modified xsi:type="dcterms:W3CDTF">2017-10-20T12:40:00Z</dcterms:modified>
</cp:coreProperties>
</file>