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B1" w:rsidRPr="00776DC6" w:rsidRDefault="002E3899" w:rsidP="002E3899">
      <w:pPr>
        <w:spacing w:after="0" w:line="360" w:lineRule="auto"/>
        <w:ind w:firstLine="450"/>
        <w:jc w:val="center"/>
        <w:rPr>
          <w:rFonts w:ascii="GHEA Grapalat" w:hAnsi="GHEA Grapalat"/>
          <w:b/>
          <w:sz w:val="24"/>
          <w:szCs w:val="24"/>
          <w:lang w:val="hy-AM"/>
        </w:rPr>
      </w:pPr>
      <w:r w:rsidRPr="00776DC6">
        <w:rPr>
          <w:rFonts w:ascii="GHEA Grapalat" w:hAnsi="GHEA Grapalat"/>
          <w:b/>
          <w:sz w:val="24"/>
          <w:szCs w:val="24"/>
          <w:lang w:val="hy-AM"/>
        </w:rPr>
        <w:t>ՀՀ ՄԱՐԴՈՒ ԻՐԱՎՈՒՆՔՆԵՐԻ ՊԱՇՏՊԱՆԻ ԴԻՐՔՈՐՈՇՈՒՄԸ</w:t>
      </w:r>
    </w:p>
    <w:p w:rsidR="000965B4" w:rsidRPr="002E3899" w:rsidRDefault="002E3899" w:rsidP="002E3899">
      <w:pPr>
        <w:spacing w:after="0" w:line="360" w:lineRule="auto"/>
        <w:ind w:firstLine="450"/>
        <w:jc w:val="center"/>
        <w:rPr>
          <w:rFonts w:ascii="GHEA Grapalat" w:hAnsi="GHEA Grapalat"/>
          <w:b/>
          <w:sz w:val="24"/>
          <w:szCs w:val="24"/>
          <w:lang w:val="hy-AM"/>
        </w:rPr>
      </w:pPr>
      <w:r w:rsidRPr="002E3899">
        <w:rPr>
          <w:rFonts w:ascii="GHEA Grapalat" w:hAnsi="GHEA Grapalat"/>
          <w:b/>
          <w:sz w:val="24"/>
          <w:szCs w:val="24"/>
          <w:lang w:val="hy-AM"/>
        </w:rPr>
        <w:t xml:space="preserve">«ՎԱՉԱԳԱՆ ՂԱԶԱՐՅԱՆԻ ԴԻՄՈՒՄԻ ՀԻՄԱՆ ՎՐԱ՝ ՀՀ ՔՐԵԱԿԱՆ ՕՐԵՆՍԳՐՔԻ 310.1-ՐԴ ՀՈԴՎԱԾԻ 1-ԻՆ ՄԱՍԻ </w:t>
      </w:r>
      <w:r w:rsidR="00986A44">
        <w:rPr>
          <w:rFonts w:ascii="GHEA Grapalat" w:hAnsi="GHEA Grapalat"/>
          <w:b/>
          <w:sz w:val="24"/>
          <w:szCs w:val="24"/>
          <w:lang w:val="hy-AM"/>
        </w:rPr>
        <w:t>ԵՎ</w:t>
      </w:r>
      <w:r w:rsidRPr="002E3899">
        <w:rPr>
          <w:rFonts w:ascii="GHEA Grapalat" w:hAnsi="GHEA Grapalat"/>
          <w:b/>
          <w:sz w:val="24"/>
          <w:szCs w:val="24"/>
          <w:lang w:val="hy-AM"/>
        </w:rPr>
        <w:t xml:space="preserve"> 314.3-ՐԴ ՀՈԴՎԱԾԻ՝ ՍԱՀՄԱՆԱԴՐՈՒԹՅԱՆԸ ՀԱՄԱՊԱՏԱՍԽԱՆՈՒԹՅԱՆ ՀԱՐՑԸ ՈՐՈՇԵԼՈՒ ՎԵՐԱԲԵՐՅԱԼ» ԳՈՐԾԻ ԿԱՊԱԿՑՈՒԹՅԱՄԲ</w:t>
      </w:r>
    </w:p>
    <w:p w:rsidR="002E3899" w:rsidRDefault="002E3899" w:rsidP="002E3899">
      <w:pPr>
        <w:spacing w:after="0" w:line="360" w:lineRule="auto"/>
        <w:ind w:firstLine="450"/>
        <w:jc w:val="center"/>
        <w:rPr>
          <w:rFonts w:ascii="GHEA Grapalat" w:hAnsi="GHEA Grapalat"/>
          <w:b/>
          <w:sz w:val="24"/>
          <w:szCs w:val="24"/>
          <w:lang w:val="hy-AM"/>
        </w:rPr>
      </w:pPr>
    </w:p>
    <w:p w:rsidR="000965B4" w:rsidRDefault="000965B4" w:rsidP="002E3899">
      <w:pPr>
        <w:spacing w:after="0" w:line="360" w:lineRule="auto"/>
        <w:ind w:firstLine="450"/>
        <w:rPr>
          <w:rFonts w:ascii="GHEA Grapalat" w:hAnsi="GHEA Grapalat"/>
          <w:b/>
          <w:sz w:val="24"/>
          <w:szCs w:val="24"/>
          <w:u w:val="single"/>
          <w:lang w:val="hy-AM"/>
        </w:rPr>
      </w:pPr>
      <w:r w:rsidRPr="000965B4">
        <w:rPr>
          <w:rFonts w:ascii="GHEA Grapalat" w:hAnsi="GHEA Grapalat"/>
          <w:b/>
          <w:sz w:val="24"/>
          <w:szCs w:val="24"/>
          <w:u w:val="single"/>
          <w:lang w:val="hy-AM"/>
        </w:rPr>
        <w:t>Դիմող կողմի պահանջը</w:t>
      </w:r>
    </w:p>
    <w:p w:rsidR="000965B4" w:rsidRPr="000965B4" w:rsidRDefault="002E3899" w:rsidP="002E3899">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t>Վաչագան Ղազարյանի ներկայացուցիչ փաստաբան Մհեր Հակոբյանը</w:t>
      </w:r>
      <w:r w:rsidR="000965B4" w:rsidRPr="000965B4">
        <w:rPr>
          <w:rFonts w:ascii="GHEA Grapalat" w:hAnsi="GHEA Grapalat"/>
          <w:sz w:val="24"/>
          <w:szCs w:val="24"/>
          <w:lang w:val="hy-AM"/>
        </w:rPr>
        <w:t xml:space="preserve"> (այսուհետ՝ Դիմող)</w:t>
      </w:r>
      <w:r w:rsidR="00A41F02">
        <w:rPr>
          <w:rFonts w:ascii="GHEA Grapalat" w:hAnsi="GHEA Grapalat"/>
          <w:sz w:val="24"/>
          <w:szCs w:val="24"/>
          <w:lang w:val="hy-AM"/>
        </w:rPr>
        <w:t xml:space="preserve">, </w:t>
      </w:r>
      <w:r w:rsidR="005C315A" w:rsidRPr="005C315A">
        <w:rPr>
          <w:rFonts w:ascii="GHEA Grapalat" w:hAnsi="GHEA Grapalat"/>
          <w:sz w:val="24"/>
          <w:szCs w:val="24"/>
          <w:lang w:val="hy-AM"/>
        </w:rPr>
        <w:t xml:space="preserve">ղեկավարվելով </w:t>
      </w:r>
      <w:r w:rsidR="005C315A" w:rsidRPr="007256E7">
        <w:rPr>
          <w:rFonts w:ascii="GHEA Grapalat" w:hAnsi="GHEA Grapalat"/>
          <w:sz w:val="24"/>
          <w:szCs w:val="24"/>
          <w:lang w:val="hy-AM"/>
        </w:rPr>
        <w:t>ՀՀ</w:t>
      </w:r>
      <w:r w:rsidR="005C315A" w:rsidRPr="005C315A">
        <w:rPr>
          <w:rFonts w:ascii="GHEA Grapalat" w:hAnsi="GHEA Grapalat"/>
          <w:sz w:val="24"/>
          <w:szCs w:val="24"/>
          <w:lang w:val="hy-AM"/>
        </w:rPr>
        <w:t xml:space="preserve"> Սահմանադրության </w:t>
      </w:r>
      <w:r>
        <w:rPr>
          <w:rFonts w:ascii="GHEA Grapalat" w:hAnsi="GHEA Grapalat"/>
          <w:sz w:val="24"/>
          <w:szCs w:val="24"/>
          <w:lang w:val="hy-AM"/>
        </w:rPr>
        <w:t>169</w:t>
      </w:r>
      <w:r w:rsidR="005C315A" w:rsidRPr="005C315A">
        <w:rPr>
          <w:rFonts w:ascii="GHEA Grapalat" w:hAnsi="GHEA Grapalat"/>
          <w:sz w:val="24"/>
          <w:szCs w:val="24"/>
          <w:lang w:val="hy-AM"/>
        </w:rPr>
        <w:t>-րդ</w:t>
      </w:r>
      <w:r w:rsidR="007256E7">
        <w:rPr>
          <w:rFonts w:ascii="GHEA Grapalat" w:hAnsi="GHEA Grapalat"/>
          <w:sz w:val="24"/>
          <w:szCs w:val="24"/>
          <w:lang w:val="hy-AM"/>
        </w:rPr>
        <w:t xml:space="preserve"> հոդվածով</w:t>
      </w:r>
      <w:r>
        <w:rPr>
          <w:rFonts w:ascii="GHEA Grapalat" w:hAnsi="GHEA Grapalat"/>
          <w:sz w:val="24"/>
          <w:szCs w:val="24"/>
          <w:lang w:val="hy-AM"/>
        </w:rPr>
        <w:t xml:space="preserve"> 1-ին մասի 8-րդ կետով</w:t>
      </w:r>
      <w:r w:rsidR="005C315A" w:rsidRPr="005C315A">
        <w:rPr>
          <w:rFonts w:ascii="GHEA Grapalat" w:hAnsi="GHEA Grapalat"/>
          <w:sz w:val="24"/>
          <w:szCs w:val="24"/>
          <w:lang w:val="hy-AM"/>
        </w:rPr>
        <w:t>,</w:t>
      </w:r>
      <w:r w:rsidR="005C315A" w:rsidRPr="00795DEB">
        <w:rPr>
          <w:rFonts w:ascii="GHEA Grapalat" w:hAnsi="GHEA Grapalat"/>
          <w:sz w:val="24"/>
          <w:szCs w:val="24"/>
          <w:lang w:val="hy-AM"/>
        </w:rPr>
        <w:t xml:space="preserve"> «Սահմանադրական</w:t>
      </w:r>
      <w:r w:rsidR="005C315A" w:rsidRPr="005C315A">
        <w:rPr>
          <w:rFonts w:ascii="GHEA Grapalat" w:hAnsi="GHEA Grapalat"/>
          <w:sz w:val="24"/>
          <w:szCs w:val="24"/>
          <w:lang w:val="hy-AM"/>
        </w:rPr>
        <w:t xml:space="preserve"> դատարանի մասին»</w:t>
      </w:r>
      <w:r w:rsidR="005C315A" w:rsidRPr="005C315A">
        <w:rPr>
          <w:rFonts w:ascii="GHEA Grapalat" w:hAnsi="GHEA Grapalat"/>
          <w:i/>
          <w:iCs/>
          <w:sz w:val="24"/>
          <w:szCs w:val="24"/>
          <w:lang w:val="hy-AM"/>
        </w:rPr>
        <w:t xml:space="preserve"> ՀՀ</w:t>
      </w:r>
      <w:r w:rsidR="005C315A" w:rsidRPr="005C315A">
        <w:rPr>
          <w:rFonts w:ascii="GHEA Grapalat" w:hAnsi="GHEA Grapalat"/>
          <w:sz w:val="24"/>
          <w:szCs w:val="24"/>
          <w:lang w:val="hy-AM"/>
        </w:rPr>
        <w:t xml:space="preserve"> օրենքի </w:t>
      </w:r>
      <w:r>
        <w:rPr>
          <w:rFonts w:ascii="GHEA Grapalat" w:hAnsi="GHEA Grapalat"/>
          <w:sz w:val="24"/>
          <w:szCs w:val="24"/>
          <w:lang w:val="hy-AM"/>
        </w:rPr>
        <w:t>69</w:t>
      </w:r>
      <w:r w:rsidR="005C315A" w:rsidRPr="005C315A">
        <w:rPr>
          <w:rFonts w:ascii="GHEA Grapalat" w:hAnsi="GHEA Grapalat"/>
          <w:sz w:val="24"/>
          <w:szCs w:val="24"/>
          <w:lang w:val="hy-AM"/>
        </w:rPr>
        <w:t xml:space="preserve">-րդ </w:t>
      </w:r>
      <w:r>
        <w:rPr>
          <w:rFonts w:ascii="GHEA Grapalat" w:hAnsi="GHEA Grapalat"/>
          <w:sz w:val="24"/>
          <w:szCs w:val="24"/>
          <w:lang w:val="hy-AM"/>
        </w:rPr>
        <w:t>հոդվածի 1-ին մասով</w:t>
      </w:r>
      <w:r w:rsidR="005C315A" w:rsidRPr="005C315A">
        <w:rPr>
          <w:rFonts w:ascii="GHEA Grapalat" w:hAnsi="GHEA Grapalat"/>
          <w:sz w:val="24"/>
          <w:szCs w:val="24"/>
          <w:lang w:val="hy-AM"/>
        </w:rPr>
        <w:t>,</w:t>
      </w:r>
      <w:r w:rsidR="005C315A" w:rsidRPr="007256E7">
        <w:rPr>
          <w:rFonts w:ascii="GHEA Grapalat" w:hAnsi="GHEA Grapalat"/>
          <w:sz w:val="24"/>
          <w:szCs w:val="24"/>
          <w:lang w:val="hy-AM"/>
        </w:rPr>
        <w:t xml:space="preserve"> </w:t>
      </w:r>
      <w:r w:rsidR="000965B4" w:rsidRPr="000965B4">
        <w:rPr>
          <w:rFonts w:ascii="GHEA Grapalat" w:hAnsi="GHEA Grapalat"/>
          <w:sz w:val="24"/>
          <w:szCs w:val="24"/>
          <w:lang w:val="hy-AM"/>
        </w:rPr>
        <w:t xml:space="preserve">դիմել է ՀՀ սահմանադրական դատարան՝ ՀՀ քրեական օրենսգրքի </w:t>
      </w:r>
      <w:r>
        <w:rPr>
          <w:rFonts w:ascii="GHEA Grapalat" w:hAnsi="GHEA Grapalat"/>
          <w:sz w:val="24"/>
          <w:szCs w:val="24"/>
          <w:lang w:val="hy-AM"/>
        </w:rPr>
        <w:t>310.1-րդ հոդվածի 1-ին մասի, 314.3</w:t>
      </w:r>
      <w:r w:rsidR="00795DEB" w:rsidRPr="00795DEB">
        <w:rPr>
          <w:rFonts w:ascii="GHEA Grapalat" w:hAnsi="GHEA Grapalat"/>
          <w:sz w:val="24"/>
          <w:szCs w:val="24"/>
          <w:lang w:val="hy-AM"/>
        </w:rPr>
        <w:t xml:space="preserve">-րդ հոդվածի </w:t>
      </w:r>
      <w:r>
        <w:rPr>
          <w:rFonts w:ascii="GHEA Grapalat" w:hAnsi="GHEA Grapalat"/>
          <w:sz w:val="24"/>
          <w:szCs w:val="24"/>
          <w:lang w:val="hy-AM"/>
        </w:rPr>
        <w:t>և իրավակիրառ պրակտիկայում դրանց տրված մեկնաբանության</w:t>
      </w:r>
      <w:r w:rsidR="00795DEB" w:rsidRPr="00795DEB">
        <w:rPr>
          <w:rFonts w:ascii="GHEA Grapalat" w:hAnsi="GHEA Grapalat"/>
          <w:sz w:val="24"/>
          <w:szCs w:val="24"/>
          <w:lang w:val="hy-AM"/>
        </w:rPr>
        <w:t xml:space="preserve">՝ </w:t>
      </w:r>
      <w:r w:rsidRPr="002E3899">
        <w:rPr>
          <w:rFonts w:ascii="GHEA Grapalat" w:hAnsi="GHEA Grapalat"/>
          <w:sz w:val="24"/>
          <w:szCs w:val="24"/>
          <w:lang w:val="hy-AM"/>
        </w:rPr>
        <w:t>ՀՀ Սահմանադրության 79-րդ, 75-րդ, 61-րդ և 63-րդ հոդվածներին համապատասխանության հարցը:</w:t>
      </w:r>
    </w:p>
    <w:p w:rsidR="0012232C" w:rsidRDefault="0012232C" w:rsidP="002E3899">
      <w:pPr>
        <w:pStyle w:val="ListParagraph"/>
        <w:tabs>
          <w:tab w:val="left" w:pos="0"/>
          <w:tab w:val="left" w:pos="709"/>
        </w:tabs>
        <w:spacing w:line="360" w:lineRule="auto"/>
        <w:ind w:left="0" w:firstLine="450"/>
        <w:jc w:val="both"/>
        <w:rPr>
          <w:rFonts w:ascii="GHEA Grapalat" w:hAnsi="GHEA Grapalat" w:cs="Arial"/>
          <w:b/>
          <w:color w:val="000000"/>
          <w:u w:val="single"/>
          <w:shd w:val="clear" w:color="auto" w:fill="FFFFFF"/>
          <w:lang w:val="hy-AM"/>
        </w:rPr>
      </w:pPr>
    </w:p>
    <w:p w:rsidR="003408FF" w:rsidRPr="00E4146D" w:rsidRDefault="0003650F" w:rsidP="002E3899">
      <w:pPr>
        <w:pStyle w:val="ListParagraph"/>
        <w:tabs>
          <w:tab w:val="left" w:pos="0"/>
          <w:tab w:val="left" w:pos="720"/>
        </w:tabs>
        <w:spacing w:line="360" w:lineRule="auto"/>
        <w:ind w:left="0" w:firstLine="450"/>
        <w:jc w:val="both"/>
        <w:rPr>
          <w:rFonts w:ascii="GHEA Grapalat" w:hAnsi="GHEA Grapalat"/>
          <w:b/>
          <w:u w:val="single"/>
          <w:lang w:val="hy-AM"/>
        </w:rPr>
      </w:pPr>
      <w:r w:rsidRPr="003408FF">
        <w:rPr>
          <w:rFonts w:ascii="GHEA Grapalat" w:hAnsi="GHEA Grapalat" w:cs="Arial"/>
          <w:color w:val="000000"/>
          <w:shd w:val="clear" w:color="auto" w:fill="FFFFFF"/>
          <w:lang w:val="hy-AM"/>
        </w:rPr>
        <w:tab/>
      </w:r>
      <w:r w:rsidR="002E3899" w:rsidRPr="000965B4">
        <w:rPr>
          <w:rFonts w:ascii="GHEA Grapalat" w:hAnsi="GHEA Grapalat"/>
          <w:lang w:val="hy-AM"/>
        </w:rPr>
        <w:t xml:space="preserve"> </w:t>
      </w:r>
      <w:r w:rsidR="002E3899" w:rsidRPr="002E3899">
        <w:rPr>
          <w:rFonts w:ascii="GHEA Grapalat" w:hAnsi="GHEA Grapalat"/>
          <w:b/>
          <w:u w:val="single"/>
          <w:lang w:val="hy-AM"/>
        </w:rPr>
        <w:t xml:space="preserve">ՀՀ քրեական օրենսգրքի 310.1-րդ հոդվածի 1-ին մասի, 314.3-րդ հոդվածի </w:t>
      </w:r>
      <w:r w:rsidR="002E3899">
        <w:rPr>
          <w:rFonts w:ascii="GHEA Grapalat" w:hAnsi="GHEA Grapalat"/>
          <w:b/>
          <w:u w:val="single"/>
          <w:lang w:val="hy-AM"/>
        </w:rPr>
        <w:t>և իրավա</w:t>
      </w:r>
      <w:r w:rsidR="002E3899" w:rsidRPr="002E3899">
        <w:rPr>
          <w:rFonts w:ascii="GHEA Grapalat" w:hAnsi="GHEA Grapalat"/>
          <w:b/>
          <w:u w:val="single"/>
          <w:lang w:val="hy-AM"/>
        </w:rPr>
        <w:t>կիրառ պրակտիկայում դրանց տրված մեկնաբանության</w:t>
      </w:r>
      <w:r w:rsidR="002E3899" w:rsidRPr="00266A80">
        <w:rPr>
          <w:rFonts w:ascii="GHEA Grapalat" w:hAnsi="GHEA Grapalat"/>
          <w:b/>
          <w:u w:val="single"/>
          <w:lang w:val="hy-AM"/>
        </w:rPr>
        <w:t xml:space="preserve"> </w:t>
      </w:r>
      <w:r w:rsidR="003408FF" w:rsidRPr="00266A80">
        <w:rPr>
          <w:rFonts w:ascii="GHEA Grapalat" w:hAnsi="GHEA Grapalat"/>
          <w:b/>
          <w:u w:val="single"/>
          <w:lang w:val="hy-AM"/>
        </w:rPr>
        <w:t>ՀՀ Սահմանադրության</w:t>
      </w:r>
      <w:r w:rsidR="003408FF" w:rsidRPr="003408FF">
        <w:rPr>
          <w:rFonts w:ascii="GHEA Grapalat" w:hAnsi="GHEA Grapalat"/>
          <w:b/>
          <w:u w:val="single"/>
          <w:lang w:val="hy-AM"/>
        </w:rPr>
        <w:t xml:space="preserve"> համապատասխանության հարցի վերաբերյալ ՀՀ մարդու իրավունքների պաշտպանի աշխատակազմի </w:t>
      </w:r>
      <w:r w:rsidR="00E4146D">
        <w:rPr>
          <w:rFonts w:ascii="GHEA Grapalat" w:hAnsi="GHEA Grapalat"/>
          <w:b/>
          <w:u w:val="single"/>
          <w:lang w:val="hy-AM"/>
        </w:rPr>
        <w:t>դիրքորոշումը</w:t>
      </w:r>
      <w:bookmarkStart w:id="0" w:name="_GoBack"/>
      <w:bookmarkEnd w:id="0"/>
    </w:p>
    <w:p w:rsidR="00833DEF" w:rsidRDefault="009B6E11" w:rsidP="002E3899">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t>ՀՀ Սահմանադրության 72-րդ հոդվածը ամրագրում է հ</w:t>
      </w:r>
      <w:r w:rsidRPr="009B6E11">
        <w:rPr>
          <w:rFonts w:ascii="GHEA Grapalat" w:hAnsi="GHEA Grapalat"/>
          <w:sz w:val="24"/>
          <w:szCs w:val="24"/>
          <w:lang w:val="hy-AM"/>
        </w:rPr>
        <w:t>անցագործություններ սահմանելիս և պատիժներ նշանակելիս օրինականության սկզբունքը</w:t>
      </w:r>
      <w:r>
        <w:rPr>
          <w:rFonts w:ascii="GHEA Grapalat" w:hAnsi="GHEA Grapalat"/>
          <w:sz w:val="24"/>
          <w:szCs w:val="24"/>
          <w:lang w:val="hy-AM"/>
        </w:rPr>
        <w:t xml:space="preserve">: </w:t>
      </w:r>
      <w:r w:rsidR="00833DEF">
        <w:rPr>
          <w:rFonts w:ascii="GHEA Grapalat" w:hAnsi="GHEA Grapalat"/>
          <w:sz w:val="24"/>
          <w:szCs w:val="24"/>
          <w:lang w:val="hy-AM"/>
        </w:rPr>
        <w:t>Սույն դիրքորոշման</w:t>
      </w:r>
      <w:r>
        <w:rPr>
          <w:rFonts w:ascii="GHEA Grapalat" w:hAnsi="GHEA Grapalat"/>
          <w:sz w:val="24"/>
          <w:szCs w:val="24"/>
          <w:lang w:val="hy-AM"/>
        </w:rPr>
        <w:t xml:space="preserve"> շրջանակներում ուսումնասիրության է ենթակա նշյալ հոդվածի երրորդ նախադասությունը, համաձայն որի՝ ա</w:t>
      </w:r>
      <w:r w:rsidRPr="009B6E11">
        <w:rPr>
          <w:rFonts w:ascii="GHEA Grapalat" w:hAnsi="GHEA Grapalat"/>
          <w:sz w:val="24"/>
          <w:szCs w:val="24"/>
          <w:lang w:val="hy-AM"/>
        </w:rPr>
        <w:t>րարքի պատժելիությունը վերացնող կամ պատիժը մեղմացնող օրենքն ունի հետադարձ ուժ:</w:t>
      </w:r>
      <w:r>
        <w:rPr>
          <w:rFonts w:ascii="GHEA Grapalat" w:hAnsi="GHEA Grapalat"/>
          <w:sz w:val="24"/>
          <w:szCs w:val="24"/>
          <w:lang w:val="hy-AM"/>
        </w:rPr>
        <w:t xml:space="preserve"> </w:t>
      </w:r>
    </w:p>
    <w:p w:rsidR="002E3899" w:rsidRDefault="00833DEF" w:rsidP="002E3899">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t xml:space="preserve">Այսպես, </w:t>
      </w:r>
      <w:r w:rsidR="002E3899" w:rsidRPr="002E3899">
        <w:rPr>
          <w:rFonts w:ascii="GHEA Grapalat" w:hAnsi="GHEA Grapalat"/>
          <w:sz w:val="24"/>
          <w:szCs w:val="24"/>
          <w:lang w:val="hy-AM"/>
        </w:rPr>
        <w:t xml:space="preserve">Սահմանադրական դատարանը 2011 թվականի ՍԴՈ-1000 որոշման շրջանակներում անդրադարձել է արարքի պատժելիությունը վերացնող կամ պատիժը մեղմացնող հարաբերությունները կարգավորող սահմանադրական նորմերի, դրանցում </w:t>
      </w:r>
      <w:r w:rsidR="002E3899" w:rsidRPr="002E3899">
        <w:rPr>
          <w:rFonts w:ascii="GHEA Grapalat" w:hAnsi="GHEA Grapalat"/>
          <w:sz w:val="24"/>
          <w:szCs w:val="24"/>
          <w:lang w:val="hy-AM"/>
        </w:rPr>
        <w:lastRenderedPageBreak/>
        <w:t>ամրագրված մոտեցումների և միջազգային իրավական փաստաթղթերում ամրագրված դրույթների փոխհարաբերության հարցին։ Դատարանը, մասնավորապես նշել է. «Արարքի պատժելիությունը վերացնող կամ պատիժը մեղմացնող հարաբերությունները կարգավորող սահմանադրական նորմերը և դրանցում ամրագրված մոտեցումները համահունչ են միջազգային իրավական փաստաթղթերում ամրագրված դրույթներին։ Այսպես, Մարդու իրավունքների համընդհանուր հռչակագրի 11–րդ հոդվածի 2–րդ մասը սահմանում է, որ` «Ոչ ոք չպետք է մեղավոր ճանաչվի որևէ քրեական հանցագործության համար` կապված ցանկացած գործողության կամ անգործության հետ, որը, կատարման պահին գործող ներպետական կամ միջազգային իրավունքի համաձայն, քրեական հանցագործություն չի համարվել։ Չի կարող նաև կիրառվել ավելի ծանր պատիժ, քան այն, որը կիրառելի է եղել քրեական հանցագործության կատարման պահին»։ Միաժամանակ, Քաղաքացիական և քաղաքական իրավունքների մասին միջազգային դաշնագրում (հոդվ. 15), Մարդու իրավունքների և հիմնարար ազատությունների պաշտպանության մասին եվրոպական կոնվենցիայում (հոդվ. 7, մաս 1) և միջազգային իրավական այլ փաստաթղթերում ևս անդրադարձ է արվել խնդրո առարկա հարցերի կարգավորմանը` նախատեսելով, որ արարքի պատժելիությունը վերացնող կամ պատիժը մեղմացնող քրեական օրենքն ունի հետադարձ ուժ։»:</w:t>
      </w:r>
    </w:p>
    <w:p w:rsidR="00833DEF" w:rsidRPr="001353EB" w:rsidRDefault="00F13CD8" w:rsidP="00833DEF">
      <w:pPr>
        <w:spacing w:after="0" w:line="360" w:lineRule="auto"/>
        <w:ind w:firstLine="450"/>
        <w:jc w:val="both"/>
        <w:rPr>
          <w:rFonts w:ascii="GHEA Grapalat" w:hAnsi="GHEA Grapalat"/>
          <w:sz w:val="24"/>
          <w:szCs w:val="24"/>
          <w:lang w:val="hy-AM"/>
        </w:rPr>
      </w:pPr>
      <w:r>
        <w:rPr>
          <w:rFonts w:ascii="GHEA Grapalat" w:hAnsi="GHEA Grapalat" w:cs="Arial"/>
          <w:sz w:val="24"/>
          <w:szCs w:val="24"/>
          <w:lang w:val="hy-AM"/>
        </w:rPr>
        <w:t>Անհրաժեշտ է ընդգծել, որ ՀՀ Սահմանադրության 81-րդ հոդվածի համաձայն՝</w:t>
      </w:r>
      <w:r w:rsidRPr="00F13CD8">
        <w:rPr>
          <w:rFonts w:ascii="GHEA Grapalat" w:hAnsi="GHEA Grapalat" w:cs="Arial"/>
          <w:sz w:val="24"/>
          <w:szCs w:val="24"/>
          <w:lang w:val="hy-AM"/>
        </w:rPr>
        <w:t xml:space="preserve"> </w:t>
      </w:r>
      <w:r>
        <w:rPr>
          <w:rFonts w:ascii="GHEA Grapalat" w:hAnsi="GHEA Grapalat" w:cs="Arial"/>
          <w:sz w:val="24"/>
          <w:szCs w:val="24"/>
          <w:lang w:val="hy-AM"/>
        </w:rPr>
        <w:t>հ</w:t>
      </w:r>
      <w:r w:rsidRPr="00F13CD8">
        <w:rPr>
          <w:rFonts w:ascii="GHEA Grapalat" w:hAnsi="GHEA Grapalat" w:cs="Arial"/>
          <w:sz w:val="24"/>
          <w:szCs w:val="24"/>
          <w:lang w:val="hy-AM"/>
        </w:rPr>
        <w:t xml:space="preserve">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w:t>
      </w:r>
      <w:r>
        <w:rPr>
          <w:rFonts w:ascii="GHEA Grapalat" w:hAnsi="GHEA Grapalat" w:cs="Arial"/>
          <w:sz w:val="24"/>
          <w:szCs w:val="24"/>
          <w:lang w:val="hy-AM"/>
        </w:rPr>
        <w:t>Ըստ այդմ, անհրաժեշտ է ուսումնասիրել նաև Մարդու իրավունքների եվրոպական դատարանի պրակտիկան: Այսպես, Ե</w:t>
      </w:r>
      <w:r w:rsidR="00833DEF">
        <w:rPr>
          <w:rFonts w:ascii="GHEA Grapalat" w:hAnsi="GHEA Grapalat" w:cs="Arial"/>
          <w:sz w:val="24"/>
          <w:szCs w:val="24"/>
          <w:lang w:val="hy-AM"/>
        </w:rPr>
        <w:t xml:space="preserve">վրոպական </w:t>
      </w:r>
      <w:r>
        <w:rPr>
          <w:rFonts w:ascii="GHEA Grapalat" w:hAnsi="GHEA Grapalat" w:cs="Arial"/>
          <w:sz w:val="24"/>
          <w:szCs w:val="24"/>
          <w:lang w:val="hy-AM"/>
        </w:rPr>
        <w:t>դատարանը</w:t>
      </w:r>
      <w:r w:rsidR="00833DEF">
        <w:rPr>
          <w:rFonts w:ascii="GHEA Grapalat" w:hAnsi="GHEA Grapalat" w:cs="Arial"/>
          <w:sz w:val="24"/>
          <w:szCs w:val="24"/>
          <w:lang w:val="hy-AM"/>
        </w:rPr>
        <w:t xml:space="preserve"> Մաքթուֆն ու Դամյանովիչն ընդդեմ Բոսնիա և Հերցեգովինայի գործով հայտնել է դիրքորոշում առ այն, որ միայն անձի համար բարենպաստ օրենքը կարող է ունենալ հետադարձ ուժ: Ոչ ոք չի կարող մեղավոր ճանաչվել այն հանցագործության համար, որն </w:t>
      </w:r>
      <w:r w:rsidR="00833DEF">
        <w:rPr>
          <w:rFonts w:ascii="GHEA Grapalat" w:hAnsi="GHEA Grapalat" w:cs="Arial"/>
          <w:sz w:val="24"/>
          <w:szCs w:val="24"/>
          <w:lang w:val="hy-AM"/>
        </w:rPr>
        <w:lastRenderedPageBreak/>
        <w:t xml:space="preserve">ազգային կամ միջազգային օրենսդրական կարգավորումներով դրա կատարման պահին չի համարվել հանցագործություն, </w:t>
      </w:r>
      <w:r w:rsidR="00833DEF" w:rsidRPr="00415F6B">
        <w:rPr>
          <w:rFonts w:ascii="GHEA Grapalat" w:hAnsi="GHEA Grapalat" w:cs="Arial"/>
          <w:sz w:val="24"/>
          <w:szCs w:val="24"/>
          <w:lang w:val="hy-AM"/>
        </w:rPr>
        <w:t>ոչ էլ կարող է ավելի ծանր պատիժ կիրառվել, քան այն, ինչ</w:t>
      </w:r>
      <w:r w:rsidR="00833DEF">
        <w:rPr>
          <w:rFonts w:ascii="GHEA Grapalat" w:hAnsi="GHEA Grapalat" w:cs="Arial"/>
          <w:sz w:val="24"/>
          <w:szCs w:val="24"/>
          <w:lang w:val="hy-AM"/>
        </w:rPr>
        <w:t>ը</w:t>
      </w:r>
      <w:r w:rsidR="00833DEF" w:rsidRPr="00415F6B">
        <w:rPr>
          <w:rFonts w:ascii="GHEA Grapalat" w:hAnsi="GHEA Grapalat" w:cs="Arial"/>
          <w:sz w:val="24"/>
          <w:szCs w:val="24"/>
          <w:lang w:val="hy-AM"/>
        </w:rPr>
        <w:t xml:space="preserve"> </w:t>
      </w:r>
      <w:r w:rsidR="00833DEF">
        <w:rPr>
          <w:rFonts w:ascii="GHEA Grapalat" w:hAnsi="GHEA Grapalat" w:cs="Arial"/>
          <w:sz w:val="24"/>
          <w:szCs w:val="24"/>
          <w:lang w:val="hy-AM"/>
        </w:rPr>
        <w:t>նախատեսված</w:t>
      </w:r>
      <w:r w:rsidR="00833DEF" w:rsidRPr="00415F6B">
        <w:rPr>
          <w:rFonts w:ascii="GHEA Grapalat" w:hAnsi="GHEA Grapalat" w:cs="Arial"/>
          <w:sz w:val="24"/>
          <w:szCs w:val="24"/>
          <w:lang w:val="hy-AM"/>
        </w:rPr>
        <w:t xml:space="preserve"> </w:t>
      </w:r>
      <w:r w:rsidR="00833DEF">
        <w:rPr>
          <w:rFonts w:ascii="GHEA Grapalat" w:hAnsi="GHEA Grapalat" w:cs="Arial"/>
          <w:sz w:val="24"/>
          <w:szCs w:val="24"/>
          <w:lang w:val="hy-AM"/>
        </w:rPr>
        <w:t>է եղել</w:t>
      </w:r>
      <w:r w:rsidR="00833DEF" w:rsidRPr="00415F6B">
        <w:rPr>
          <w:rFonts w:ascii="GHEA Grapalat" w:hAnsi="GHEA Grapalat" w:cs="Arial"/>
          <w:sz w:val="24"/>
          <w:szCs w:val="24"/>
          <w:lang w:val="hy-AM"/>
        </w:rPr>
        <w:t xml:space="preserve"> հանցագործության կատարման պահին</w:t>
      </w:r>
      <w:r w:rsidR="00833DEF">
        <w:rPr>
          <w:rFonts w:ascii="GHEA Grapalat" w:hAnsi="GHEA Grapalat" w:cs="Arial"/>
          <w:sz w:val="24"/>
          <w:szCs w:val="24"/>
          <w:lang w:val="hy-AM"/>
        </w:rPr>
        <w:t>:</w:t>
      </w:r>
      <w:r w:rsidR="00833DEF" w:rsidRPr="00F50380">
        <w:rPr>
          <w:rFonts w:ascii="GHEA Grapalat" w:hAnsi="GHEA Grapalat" w:cs="Arial"/>
          <w:sz w:val="24"/>
          <w:szCs w:val="24"/>
          <w:lang w:val="hy-AM"/>
        </w:rPr>
        <w:t xml:space="preserve"> </w:t>
      </w:r>
      <w:r w:rsidR="00833DEF" w:rsidRPr="00833DEF">
        <w:rPr>
          <w:rFonts w:ascii="GHEA Grapalat" w:hAnsi="GHEA Grapalat" w:cs="Arial"/>
          <w:b/>
          <w:sz w:val="24"/>
          <w:szCs w:val="24"/>
          <w:lang w:val="hy-AM"/>
        </w:rPr>
        <w:t>Շարունակելով՝ դատարանը նշել է նաև, որ ընդհակառակը, եթե գործող կարգավորումները կատարված հանցագործության համար նախատեսում են ավելի թեթև պատիժ, քան այն կարգավորումները, որոնց գործողության օրոք կատարվել է հանցագործությունը, ապա պետք է նշանակվի առավել մեղմ պատիժ</w:t>
      </w:r>
      <w:r w:rsidR="00833DEF">
        <w:rPr>
          <w:rFonts w:ascii="GHEA Grapalat" w:hAnsi="GHEA Grapalat" w:cs="Arial"/>
          <w:sz w:val="24"/>
          <w:szCs w:val="24"/>
          <w:lang w:val="hy-AM"/>
        </w:rPr>
        <w:t>: Ավելին, դատարանը հավելել է նաև, որ ա</w:t>
      </w:r>
      <w:r w:rsidR="00833DEF" w:rsidRPr="00183519">
        <w:rPr>
          <w:rFonts w:ascii="GHEA Grapalat" w:hAnsi="GHEA Grapalat" w:cs="Arial"/>
          <w:sz w:val="24"/>
          <w:szCs w:val="24"/>
          <w:lang w:val="hy-AM"/>
        </w:rPr>
        <w:t xml:space="preserve">յս սկզբունքները բոլոր պետությունների համար </w:t>
      </w:r>
      <w:r w:rsidR="00833DEF">
        <w:rPr>
          <w:rFonts w:ascii="GHEA Grapalat" w:hAnsi="GHEA Grapalat" w:cs="Arial"/>
          <w:sz w:val="24"/>
          <w:szCs w:val="24"/>
          <w:lang w:val="hy-AM"/>
        </w:rPr>
        <w:t xml:space="preserve">պարտադիր, </w:t>
      </w:r>
      <w:r w:rsidR="00833DEF" w:rsidRPr="00183519">
        <w:rPr>
          <w:rFonts w:ascii="GHEA Grapalat" w:hAnsi="GHEA Grapalat" w:cs="Arial"/>
          <w:sz w:val="24"/>
          <w:szCs w:val="24"/>
          <w:lang w:val="hy-AM"/>
        </w:rPr>
        <w:t xml:space="preserve">միջազգային իրավունքի կանոնների մի մասն են, </w:t>
      </w:r>
      <w:r w:rsidR="00833DEF">
        <w:rPr>
          <w:rFonts w:ascii="GHEA Grapalat" w:hAnsi="GHEA Grapalat" w:cs="Arial"/>
          <w:sz w:val="24"/>
          <w:szCs w:val="24"/>
          <w:lang w:val="hy-AM"/>
        </w:rPr>
        <w:t>որոնցից</w:t>
      </w:r>
      <w:r w:rsidR="00833DEF" w:rsidRPr="00183519">
        <w:rPr>
          <w:rFonts w:ascii="GHEA Grapalat" w:hAnsi="GHEA Grapalat" w:cs="Arial"/>
          <w:sz w:val="24"/>
          <w:szCs w:val="24"/>
          <w:lang w:val="hy-AM"/>
        </w:rPr>
        <w:t xml:space="preserve"> միջազգային կամ ազգային օրենսդրութ</w:t>
      </w:r>
      <w:r w:rsidR="00833DEF">
        <w:rPr>
          <w:rFonts w:ascii="GHEA Grapalat" w:hAnsi="GHEA Grapalat" w:cs="Arial"/>
          <w:sz w:val="24"/>
          <w:szCs w:val="24"/>
          <w:lang w:val="hy-AM"/>
        </w:rPr>
        <w:t xml:space="preserve">յամբ սահմանված որևէ կարգավորում չի կարող շեղվել </w:t>
      </w:r>
      <w:r w:rsidR="00833DEF" w:rsidRPr="009B6E11">
        <w:rPr>
          <w:rFonts w:ascii="GHEA Grapalat" w:hAnsi="GHEA Grapalat" w:cs="Arial"/>
          <w:sz w:val="24"/>
          <w:szCs w:val="24"/>
          <w:lang w:val="hy-AM"/>
        </w:rPr>
        <w:t>(jus cogens)</w:t>
      </w:r>
      <w:r w:rsidR="00833DEF">
        <w:rPr>
          <w:rStyle w:val="FootnoteReference"/>
          <w:rFonts w:ascii="GHEA Grapalat" w:hAnsi="GHEA Grapalat" w:cs="Arial"/>
          <w:sz w:val="24"/>
          <w:szCs w:val="24"/>
          <w:lang w:val="hy-AM"/>
        </w:rPr>
        <w:footnoteReference w:id="1"/>
      </w:r>
      <w:r w:rsidR="00833DEF">
        <w:rPr>
          <w:rFonts w:ascii="GHEA Grapalat" w:hAnsi="GHEA Grapalat" w:cs="Arial"/>
          <w:sz w:val="24"/>
          <w:szCs w:val="24"/>
          <w:lang w:val="hy-AM"/>
        </w:rPr>
        <w:t>:</w:t>
      </w:r>
      <w:r w:rsidR="00833DEF" w:rsidRPr="00183519">
        <w:rPr>
          <w:rFonts w:ascii="GHEA Grapalat" w:hAnsi="GHEA Grapalat" w:cs="Arial"/>
          <w:sz w:val="24"/>
          <w:szCs w:val="24"/>
          <w:lang w:val="hy-AM"/>
        </w:rPr>
        <w:t xml:space="preserve"> </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 xml:space="preserve">Քրեական օրենքի հետադարձ ուժի ինստիտուտը կարգավորվում է նաև ՀՀ քրեական օրենսգրքով: Օրենսգրքի 13-րդ հոդվածի 1-ին մասով սահմանվում է, որ արարքի հանցավորությունը վերացնող, պատիժը մեղմացնող կամ հանցանք կատարած անձի վիճակն այլ կերպ բարելավող օրենքը հետադարձ ուժ ունի, </w:t>
      </w:r>
      <w:r w:rsidRPr="001353EB">
        <w:rPr>
          <w:rFonts w:ascii="GHEA Grapalat" w:hAnsi="GHEA Grapalat"/>
          <w:b/>
          <w:sz w:val="24"/>
          <w:szCs w:val="24"/>
          <w:lang w:val="hy-AM"/>
        </w:rPr>
        <w:t>այսինքն՝ տարածվում է մինչև այդ օրենքն ուժի մեջ մտնելը համապատասխան արարք կատարած անձանց, այդ թվում՝ այն անձանց վրա, ովքեր կրում են պատիժը կամ կրել են դա, սակայն ունեն դատվածություն</w:t>
      </w:r>
      <w:r w:rsidRPr="002E3899">
        <w:rPr>
          <w:rFonts w:ascii="GHEA Grapalat" w:hAnsi="GHEA Grapalat"/>
          <w:sz w:val="24"/>
          <w:szCs w:val="24"/>
          <w:lang w:val="hy-AM"/>
        </w:rPr>
        <w:t xml:space="preserve">: </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 xml:space="preserve">Այսպես, ի թիվս երկու այլ հանգամանքի, նշված կարգավորմամբ նախատեսվում է օրենքի հետադարձության կիրառում՝ եթե այն արարքի հանցավորությունը վերացնող է: Արարքի հանցավորությունը վերացնող օրենքի հետ գործ ունենք այն պարագայում, երբ այդ օրենքով հանցագործություն չի համարվում այն արարքը, որը նախկին օրենքով հանցագործություն էր (լրիվ ապաքրեականացում) և երբ հանցանքը չի դադարում հանցագործություն լինելուց և չի վերացվում, սակայն, հանցակազմն այնպիսի փոփոխությունների է ենթարկվում, որ հանցավոր համարվող արարքների շրջանակը նեղանում է (մասնակի ապաքրեականացում): </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lastRenderedPageBreak/>
        <w:t>Խոսելով մասնակի ապաքրեականացման մասին</w:t>
      </w:r>
      <w:r w:rsidR="00833DEF">
        <w:rPr>
          <w:rFonts w:ascii="GHEA Grapalat" w:hAnsi="GHEA Grapalat"/>
          <w:sz w:val="24"/>
          <w:szCs w:val="24"/>
          <w:lang w:val="hy-AM"/>
        </w:rPr>
        <w:t>՝</w:t>
      </w:r>
      <w:r w:rsidRPr="002E3899">
        <w:rPr>
          <w:rFonts w:ascii="GHEA Grapalat" w:hAnsi="GHEA Grapalat"/>
          <w:sz w:val="24"/>
          <w:szCs w:val="24"/>
          <w:lang w:val="hy-AM"/>
        </w:rPr>
        <w:t xml:space="preserve"> հարկ է նշել, որ այն կարող է իրականացվել նաև հանցագործության առարկայի և օբյեկտի, սուբյեկտիվ կողմի, սուբյեկտի, տուժողի հատկանիշների փոփոխությամբ</w:t>
      </w:r>
      <w:r w:rsidRPr="00F63F77">
        <w:rPr>
          <w:rFonts w:ascii="GHEA Grapalat" w:hAnsi="GHEA Grapalat"/>
          <w:sz w:val="24"/>
          <w:szCs w:val="24"/>
          <w:vertAlign w:val="superscript"/>
          <w:lang w:val="hy-AM"/>
        </w:rPr>
        <w:footnoteReference w:id="2"/>
      </w:r>
      <w:r w:rsidRPr="002E3899">
        <w:rPr>
          <w:rFonts w:ascii="GHEA Grapalat" w:hAnsi="GHEA Grapalat"/>
          <w:sz w:val="24"/>
          <w:szCs w:val="24"/>
          <w:lang w:val="hy-AM"/>
        </w:rPr>
        <w:t>:</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Միևնույն ժամանակ արարքի հանցավորության վերացնող օրենքի հետադարձության մասին խոսելիս, հարկ է քննարկել նաև այն հարցը, թե ինչպես պետք է գործնականում կիրառվի տվյալ օրենքը: Այսպես, գտնվելով նախնական քննության փուլում և դատավճիռ կայացված չլինելու պարագայում գործը կարճվում է, հիմք ընդունելով ՀՀ քրեական դատավարության օրենսգրքի «Քրեական գործի վարույթը կամ քրեական հետապնդումը բացառող հանգամանքներ» վերտառությամբ 35-րդ հոդվածի 1-ին մասի 2-րդ կետը, համաձայն որի՝ հարուցված քրեական գործի վարույթը ենթակա է կարճման, եթե արարքի մեջ հանցակազմ չկա:</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 xml:space="preserve"> Դատավճռի առկայության պարագայում գործը ենթակա է վերանայման, միևնույն ժամանակ անձին ազատելով պատիժը կրելուց, իսկ պատիժը կրած և դատվածություն ունեցած անձինք համարվում են դատվածություն չունեցող: Վերը նշվածը հիմնված է Սահմանադրական դատարանի 2017 թվականի փետրվարի 14-ի ՍԴՈ- 1348 որոշմամբ արտահայտված դիրքորոշման վրա, ըստ որի իրավակիրառ պրակտիկայի շրջանակներում արարքի պատժելիությունը վերացնող օրենքի հետադարձ կիրառումը պատիժ կրող անձանց նկատմամբ անհրաժեշտ է իրականացնել</w:t>
      </w:r>
      <w:r w:rsidRPr="002E3899">
        <w:rPr>
          <w:rFonts w:ascii="Calibri" w:hAnsi="Calibri" w:cs="Calibri"/>
          <w:sz w:val="24"/>
          <w:szCs w:val="24"/>
          <w:lang w:val="hy-AM"/>
        </w:rPr>
        <w:t> </w:t>
      </w:r>
      <w:r w:rsidRPr="002E3899">
        <w:rPr>
          <w:rFonts w:ascii="GHEA Grapalat" w:hAnsi="GHEA Grapalat"/>
          <w:sz w:val="24"/>
          <w:szCs w:val="24"/>
          <w:lang w:val="hy-AM"/>
        </w:rPr>
        <w:t>նոր հանգամանքի հիմքով դատական ակտի վերանայման վերաբերյալ իրավակարգավորումների շրջանակներում`</w:t>
      </w:r>
      <w:r w:rsidRPr="002E3899">
        <w:rPr>
          <w:rFonts w:ascii="Calibri" w:hAnsi="Calibri" w:cs="Calibri"/>
          <w:sz w:val="24"/>
          <w:szCs w:val="24"/>
          <w:lang w:val="hy-AM"/>
        </w:rPr>
        <w:t> </w:t>
      </w:r>
      <w:r w:rsidRPr="002E3899">
        <w:rPr>
          <w:rFonts w:ascii="GHEA Grapalat" w:hAnsi="GHEA Grapalat"/>
          <w:sz w:val="24"/>
          <w:szCs w:val="24"/>
          <w:lang w:val="hy-AM"/>
        </w:rPr>
        <w:t>արարքի պատժելիությունը վերացնող օրենքի ուժի մեջ մտնելը դիտարկելով որպես դատական ակտը վերանայելու համար նոր հանգամանք:</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 xml:space="preserve">Վերոգրյալ երկուսից զատ, արարքի հանցավորությունը վերացնող օրենքի հետադարձության վերաբերյալ որևէ այլ դեպք քննարկման ենթակա չէ:  Վերադառնալով ՀՀ քրեական դատավարության օրենսգրքի 35-րդ հոդվածի 1-ին մասի 2-րդ կետին, հարկ է նշել, </w:t>
      </w:r>
      <w:r w:rsidRPr="002E3899">
        <w:rPr>
          <w:rFonts w:ascii="GHEA Grapalat" w:hAnsi="GHEA Grapalat"/>
          <w:sz w:val="24"/>
          <w:szCs w:val="24"/>
          <w:lang w:val="hy-AM"/>
        </w:rPr>
        <w:lastRenderedPageBreak/>
        <w:t>որ վերջինով սահմանվում է նաև, որ արարքի մեջ հանցակազմ չլինելու պարագայում քրեական գործ չի կարող հարուցվել և քրեական հետապնդում չի կարող իրականացվել:</w:t>
      </w:r>
    </w:p>
    <w:p w:rsidR="002E3899" w:rsidRPr="002E3899"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 xml:space="preserve">Նշվածն առավել համապարփակ ներկայացնելու համար հարկ է նշել, որ հանցակազմը  հանրորեն վտանգավոր արարքի քրեական օրենքով սահմանված օբյեկտիվ և սուբյեկտիվ հատկանիշների համակցությունն է: Քրեական օրենսգրքի 3-րդ հոդվածի համաձայն՝ քրեական պատասխանատվության միակ հիմքը հանցանք, այսինքն՝ այնպիսի արարք կատարելն է, որն իր մեջ պարունակում է քրեական օրենքով նախատեսված հանցակազմի բոլոր հատկանիշները: </w:t>
      </w:r>
    </w:p>
    <w:p w:rsidR="001353EB" w:rsidRDefault="002E3899" w:rsidP="002E3899">
      <w:pPr>
        <w:spacing w:after="0" w:line="360" w:lineRule="auto"/>
        <w:ind w:firstLine="450"/>
        <w:jc w:val="both"/>
        <w:rPr>
          <w:rFonts w:ascii="GHEA Grapalat" w:hAnsi="GHEA Grapalat"/>
          <w:sz w:val="24"/>
          <w:szCs w:val="24"/>
          <w:lang w:val="hy-AM"/>
        </w:rPr>
      </w:pPr>
      <w:r w:rsidRPr="002E3899">
        <w:rPr>
          <w:rFonts w:ascii="GHEA Grapalat" w:hAnsi="GHEA Grapalat"/>
          <w:sz w:val="24"/>
          <w:szCs w:val="24"/>
          <w:lang w:val="hy-AM"/>
        </w:rPr>
        <w:t xml:space="preserve">Վերոգրյալ կարգավորման վերլուծության արդյունքում կարող ենք փաստել, որ եթե չկա հանցակազմ, ապա չկա հանցանք, իսկ եթե չկա հանցանք, ապա չի կարող լինել քրեական պատասխանատվություն (nulla poena sine lege): Հանցակազմ չլինելու մասին կարելի խոսել այն պարագայում, երբ դրա՝ միասնության մեջ հանդես եկող տարրերից (օբյեկտ, օբյեկտիվ կողմ, սուբյեկտ, սուբյեկտիվ կողմ) թեկուզ մեկը բացակայում է: </w:t>
      </w:r>
    </w:p>
    <w:p w:rsidR="001353EB" w:rsidRPr="001353EB" w:rsidRDefault="001353EB" w:rsidP="001353EB">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t>Քրեական օրենսգրքի 314.3-րդ հոդվածի համաձայն՝</w:t>
      </w:r>
      <w:r w:rsidRPr="001353EB">
        <w:rPr>
          <w:rFonts w:ascii="GHEA Grapalat" w:hAnsi="GHEA Grapalat"/>
          <w:sz w:val="24"/>
          <w:szCs w:val="24"/>
          <w:lang w:val="hy-AM"/>
        </w:rPr>
        <w:tab/>
      </w:r>
      <w:r>
        <w:rPr>
          <w:rFonts w:ascii="GHEA Grapalat" w:hAnsi="GHEA Grapalat"/>
          <w:sz w:val="24"/>
          <w:szCs w:val="24"/>
          <w:lang w:val="hy-AM"/>
        </w:rPr>
        <w:t>հ</w:t>
      </w:r>
      <w:r w:rsidRPr="001353EB">
        <w:rPr>
          <w:rFonts w:ascii="GHEA Grapalat" w:hAnsi="GHEA Grapalat"/>
          <w:sz w:val="24"/>
          <w:szCs w:val="24"/>
          <w:lang w:val="hy-AM"/>
        </w:rPr>
        <w:t>այտարարատու պաշտոնատար անձի, ինչպես նաև նրա ընտանիքի կազմի մեջ մտնող անձի կողմից «</w:t>
      </w:r>
      <w:r w:rsidRPr="00AE09E5">
        <w:rPr>
          <w:rFonts w:ascii="GHEA Grapalat" w:hAnsi="GHEA Grapalat"/>
          <w:b/>
          <w:sz w:val="24"/>
          <w:szCs w:val="24"/>
          <w:lang w:val="hy-AM"/>
        </w:rPr>
        <w:t>Հանրային ծառայության մասին» Հայաստանի Հանրապետության օրենքով</w:t>
      </w:r>
      <w:r w:rsidRPr="001353EB">
        <w:rPr>
          <w:rFonts w:ascii="GHEA Grapalat" w:hAnsi="GHEA Grapalat"/>
          <w:sz w:val="24"/>
          <w:szCs w:val="24"/>
          <w:lang w:val="hy-AM"/>
        </w:rPr>
        <w:t xml:space="preserve"> նախատեսված հայտարարագրերում կեղծ տվյալ ներկայացնելը կամ հայտարարագրման ենթակա տվյալը թաքցնելը`</w:t>
      </w:r>
      <w:r>
        <w:rPr>
          <w:rFonts w:ascii="GHEA Grapalat" w:hAnsi="GHEA Grapalat"/>
          <w:sz w:val="24"/>
          <w:szCs w:val="24"/>
          <w:lang w:val="hy-AM"/>
        </w:rPr>
        <w:t xml:space="preserve"> </w:t>
      </w:r>
      <w:r w:rsidRPr="001353EB">
        <w:rPr>
          <w:rFonts w:ascii="GHEA Grapalat" w:hAnsi="GHEA Grapalat"/>
          <w:sz w:val="24"/>
          <w:szCs w:val="24"/>
          <w:lang w:val="hy-AM"/>
        </w:rPr>
        <w:t>պատժվում է տուգանքով՝ նվազագույն աշխատավարձի երկուհազարապատիկից երեքհազարապատիկի չափով, կամ ազատազրկմամբ՝ առավելագույնը երկու տարի ժամկետով` որոշակի պաշտոններ զբաղեցնելու կամ որոշակի գործունեությամբ զբաղվելու իրավունքից զրկելով` առավելագույնը երեք տարի ժամկետով կամ առանց դրա: Նույն արարքը, որը հանգեցրել է առանձնապես խոշոր չափերով գույքի կամ եկամտի չհայտարարագրմանը`</w:t>
      </w:r>
      <w:r>
        <w:rPr>
          <w:rFonts w:ascii="GHEA Grapalat" w:hAnsi="GHEA Grapalat"/>
          <w:sz w:val="24"/>
          <w:szCs w:val="24"/>
          <w:lang w:val="hy-AM"/>
        </w:rPr>
        <w:t xml:space="preserve"> </w:t>
      </w:r>
      <w:r w:rsidRPr="001353EB">
        <w:rPr>
          <w:rFonts w:ascii="GHEA Grapalat" w:hAnsi="GHEA Grapalat"/>
          <w:sz w:val="24"/>
          <w:szCs w:val="24"/>
          <w:lang w:val="hy-AM"/>
        </w:rPr>
        <w:t>պատժվում է ազատազրկմամբ՝ երկուսից չորս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p>
    <w:p w:rsidR="001353EB" w:rsidRPr="001353EB" w:rsidRDefault="001353EB" w:rsidP="001353EB">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lastRenderedPageBreak/>
        <w:t>Միևնույն ժամանակ, օրենսգրքի 310.1-րդ հոդվածի համաձայն ա</w:t>
      </w:r>
      <w:r w:rsidRPr="001353EB">
        <w:rPr>
          <w:rFonts w:ascii="GHEA Grapalat" w:hAnsi="GHEA Grapalat"/>
          <w:sz w:val="24"/>
          <w:szCs w:val="24"/>
          <w:lang w:val="hy-AM"/>
        </w:rPr>
        <w:t xml:space="preserve">պօրինի հարստանալը՝ </w:t>
      </w:r>
      <w:r w:rsidRPr="00AE09E5">
        <w:rPr>
          <w:rFonts w:ascii="GHEA Grapalat" w:hAnsi="GHEA Grapalat"/>
          <w:b/>
          <w:sz w:val="24"/>
          <w:szCs w:val="24"/>
          <w:lang w:val="hy-AM"/>
        </w:rPr>
        <w:t>«Հանրային ծառայության մասին» Հայաստանի Հանրապետության օրենքով սահմանված` հայտարարագիր ներկայացնելու պարտականություն ունեցող անձի</w:t>
      </w:r>
      <w:r w:rsidRPr="001353EB">
        <w:rPr>
          <w:rFonts w:ascii="GHEA Grapalat" w:hAnsi="GHEA Grapalat"/>
          <w:sz w:val="24"/>
          <w:szCs w:val="24"/>
          <w:lang w:val="hy-AM"/>
        </w:rPr>
        <w:t xml:space="preserve">՝ հաշվետու ժամանակահատվածում գույքի ավելացումը և (կամ) պարտավորությունների նվազումը, որոնք էականորեն գերազանցում են նրա օրինական եկամուտները և ողջամտորեն չեն հիմնավորվում դրանցով, և եթե ապօրինի հարստացման համար հիմք հանդիսացող այլ հանցագործության հատկանիշները բացակայում </w:t>
      </w:r>
      <w:r>
        <w:rPr>
          <w:rFonts w:ascii="GHEA Grapalat" w:hAnsi="GHEA Grapalat"/>
          <w:sz w:val="24"/>
          <w:szCs w:val="24"/>
          <w:lang w:val="hy-AM"/>
        </w:rPr>
        <w:t xml:space="preserve">են՝ </w:t>
      </w:r>
      <w:r w:rsidRPr="001353EB">
        <w:rPr>
          <w:rFonts w:ascii="GHEA Grapalat" w:hAnsi="GHEA Grapalat"/>
          <w:sz w:val="24"/>
          <w:szCs w:val="24"/>
          <w:lang w:val="hy-AM"/>
        </w:rPr>
        <w:t>պատժվում է ազատազրկմամբ՝ երեքից վեց տարի ժամկետով՝ որոշակի պաշտոններ զբաղեցնելու կամ որոշակի գործունեությամբ զբաղվելու իրավունքից զրկելով՝ առավելագույնը երեք տարի ժամկետով՝ գույքի բռնագրավմամբ:</w:t>
      </w:r>
    </w:p>
    <w:p w:rsidR="005C3D90" w:rsidRPr="005C3D90" w:rsidRDefault="001353EB" w:rsidP="00F63F77">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t xml:space="preserve">Տվյալ դեպքում սույն հանցակազմերի սուբյեկտին պարզելու համար անհրաժեշտ է անդրադառնալ </w:t>
      </w:r>
      <w:r w:rsidRPr="001353EB">
        <w:rPr>
          <w:rFonts w:ascii="GHEA Grapalat" w:hAnsi="GHEA Grapalat"/>
          <w:sz w:val="24"/>
          <w:szCs w:val="24"/>
          <w:lang w:val="hy-AM"/>
        </w:rPr>
        <w:t xml:space="preserve">«Հանրային ծառայության մասին» Հայաստանի Հանրապետության </w:t>
      </w:r>
      <w:r>
        <w:rPr>
          <w:rFonts w:ascii="GHEA Grapalat" w:hAnsi="GHEA Grapalat"/>
          <w:sz w:val="24"/>
          <w:szCs w:val="24"/>
          <w:lang w:val="hy-AM"/>
        </w:rPr>
        <w:t xml:space="preserve">օրենքին: Այսպես, </w:t>
      </w:r>
      <w:r w:rsidR="005C3D90">
        <w:rPr>
          <w:rFonts w:ascii="GHEA Grapalat" w:hAnsi="GHEA Grapalat"/>
          <w:sz w:val="24"/>
          <w:szCs w:val="24"/>
          <w:lang w:val="hy-AM"/>
        </w:rPr>
        <w:t xml:space="preserve">նշյալ օրենքի 1-ին հոդվածի համաձայն՝ </w:t>
      </w:r>
      <w:r w:rsidR="00F63F77">
        <w:rPr>
          <w:rFonts w:ascii="GHEA Grapalat" w:hAnsi="GHEA Grapalat"/>
          <w:sz w:val="24"/>
          <w:szCs w:val="24"/>
          <w:lang w:val="hy-AM"/>
        </w:rPr>
        <w:t>այդ</w:t>
      </w:r>
      <w:r w:rsidR="005C3D90" w:rsidRPr="005C3D90">
        <w:rPr>
          <w:rFonts w:ascii="GHEA Grapalat" w:hAnsi="GHEA Grapalat"/>
          <w:sz w:val="24"/>
          <w:szCs w:val="24"/>
          <w:lang w:val="hy-AM"/>
        </w:rPr>
        <w:t xml:space="preserve"> օրենքով սահմանվում են Հայաստանի Հանրապետությունում հանրային ծառայության սկզբունքները, հանրային ծառայության անցնելու պահանջները, հանրային պաշտոնների դասակարգումը, հանրային ծառայողի հիմնական իրավունքները և պարտականությունները, սոցիալական երաշխիքները, պաշտոնների առանձնահատկությունները, բարեվարքության համակարգը, կարգավորվում են գույքի, </w:t>
      </w:r>
      <w:r w:rsidR="005C3D90" w:rsidRPr="00AE09E5">
        <w:rPr>
          <w:rFonts w:ascii="GHEA Grapalat" w:hAnsi="GHEA Grapalat"/>
          <w:b/>
          <w:sz w:val="24"/>
          <w:szCs w:val="24"/>
          <w:lang w:val="hy-AM"/>
        </w:rPr>
        <w:t>եկամուտների և շահերի հայտարարագրման հետ կապված հարաբերությունները:</w:t>
      </w:r>
      <w:r w:rsidR="005C3D90">
        <w:rPr>
          <w:rFonts w:ascii="GHEA Grapalat" w:hAnsi="GHEA Grapalat"/>
          <w:b/>
          <w:sz w:val="24"/>
          <w:szCs w:val="24"/>
          <w:lang w:val="hy-AM"/>
        </w:rPr>
        <w:t xml:space="preserve"> </w:t>
      </w:r>
    </w:p>
    <w:p w:rsidR="001353EB" w:rsidRPr="00AE09E5" w:rsidRDefault="005C3D90" w:rsidP="00AE09E5">
      <w:pPr>
        <w:spacing w:after="0" w:line="360" w:lineRule="auto"/>
        <w:ind w:firstLine="450"/>
        <w:jc w:val="both"/>
        <w:rPr>
          <w:rFonts w:ascii="GHEA Grapalat" w:hAnsi="GHEA Grapalat" w:cs="Arial"/>
          <w:sz w:val="24"/>
          <w:szCs w:val="24"/>
          <w:lang w:val="hy-AM"/>
        </w:rPr>
      </w:pPr>
      <w:r>
        <w:rPr>
          <w:rFonts w:ascii="GHEA Grapalat" w:hAnsi="GHEA Grapalat"/>
          <w:sz w:val="24"/>
          <w:szCs w:val="24"/>
          <w:lang w:val="hy-AM"/>
        </w:rPr>
        <w:t xml:space="preserve">Անհրաժեշտ է նշել, որ </w:t>
      </w:r>
      <w:r w:rsidR="001353EB" w:rsidRPr="00AE09E5">
        <w:rPr>
          <w:rFonts w:ascii="GHEA Grapalat" w:hAnsi="GHEA Grapalat" w:cs="Arian AMU"/>
          <w:sz w:val="24"/>
          <w:szCs w:val="24"/>
          <w:shd w:val="clear" w:color="auto" w:fill="FFFFFF"/>
          <w:lang w:val="hy-AM"/>
        </w:rPr>
        <w:t xml:space="preserve">2018 թվականի ապրիլի 9-ից ուժի մեջ է մտել «Հանրային ծառայության մասին» ՀՕ-206-Ն ՀՀ օրենքը: Նշյալ օրենքի «Օրենքի ուժի մեջ մտնելը» վերտառությամբ 54-րդ հոդվածը բացահայտում է դրա տարբեր դրույթների ուժի մեջ մտնելը: Միաժամանակ </w:t>
      </w:r>
      <w:r w:rsidR="001353EB" w:rsidRPr="00AE09E5">
        <w:rPr>
          <w:rFonts w:ascii="GHEA Grapalat" w:hAnsi="GHEA Grapalat" w:cs="Arial"/>
          <w:sz w:val="24"/>
          <w:szCs w:val="24"/>
          <w:lang w:val="hy-AM"/>
        </w:rPr>
        <w:t xml:space="preserve">2012 թվականի հունվարի 1-ին ուժի մեջ մտած «Հանրային ծառայության մասին» ՀՕ-172-Ն ՀՀ օրենքի որոշ դրույթներ շարունակում են գործել և դրանց ուժը կորցնելը պայմանավորված է որոշակի հանգամանքների վրա հասնելու հետ: </w:t>
      </w:r>
    </w:p>
    <w:p w:rsidR="001353EB" w:rsidRPr="00AE09E5" w:rsidRDefault="001353EB" w:rsidP="00AE09E5">
      <w:pPr>
        <w:spacing w:after="0" w:line="360" w:lineRule="auto"/>
        <w:ind w:firstLine="630"/>
        <w:jc w:val="both"/>
        <w:rPr>
          <w:rFonts w:ascii="GHEA Grapalat" w:hAnsi="GHEA Grapalat" w:cs="Arian AMU"/>
          <w:sz w:val="24"/>
          <w:szCs w:val="24"/>
          <w:shd w:val="clear" w:color="auto" w:fill="FFFFFF"/>
          <w:lang w:val="hy-AM"/>
        </w:rPr>
      </w:pPr>
      <w:r w:rsidRPr="00AE09E5">
        <w:rPr>
          <w:rFonts w:ascii="GHEA Grapalat" w:hAnsi="GHEA Grapalat" w:cs="Arial"/>
          <w:sz w:val="24"/>
          <w:szCs w:val="24"/>
          <w:lang w:val="hy-AM"/>
        </w:rPr>
        <w:lastRenderedPageBreak/>
        <w:t>Մասնավորապես, «</w:t>
      </w:r>
      <w:r w:rsidRPr="00AE09E5">
        <w:rPr>
          <w:rFonts w:ascii="GHEA Grapalat" w:hAnsi="GHEA Grapalat" w:cs="Arian AMU"/>
          <w:sz w:val="24"/>
          <w:szCs w:val="24"/>
          <w:shd w:val="clear" w:color="auto" w:fill="FFFFFF"/>
          <w:lang w:val="hy-AM"/>
        </w:rPr>
        <w:t>Հանրային ծառայության մասին» ՀՕ-206-Ն ՀՀ օրենքի 54-րդ հոդվածի 2-րդ մասի համաձայն՝ ՀՕ-206-Ն օրենքն ուժի մեջ մտնելու պահից ուժը կորցրած է ճանաչվել «Հանրային ծառայության մասին» ՀՀ ՀՕ-172-Ն օրենքը, բացառությամբ 23-24-րդ, 28-րդ, 30-37-րդ հոդվածների, 38-րդ հոդվածի 3-րդ մասի, 4-րդ մասի առաջին նախադասության, 38.1-40-րդ, 41-րդ հոդվածի 1-ին մասի, 41.1-44-րդ հոդվածների, 52-րդ հոդվածի 5-րդ մասի:  Ըստ նույն օրենքի, դրա 31-33-րդ հոդվածները, 34-րդ հոդվածի 1-ին մասն ուժի մեջ են մտնում Կոռուպցիայի կանխարգելման հանձնաժողովի կազմավորման պահից: Մինչ այդ շարունակում են գործել «Հանրային ծառայության մասին» ՀՀ ՀՕ-172-Ն օրենքի 23-24-րդ, 30-31-րդ հոդվածների, 32-րդ հոդվածի 1-ին մասի դրույթները:</w:t>
      </w:r>
    </w:p>
    <w:p w:rsidR="00833DEF" w:rsidRDefault="001353EB" w:rsidP="00EE3916">
      <w:pPr>
        <w:spacing w:after="0" w:line="360" w:lineRule="auto"/>
        <w:ind w:firstLine="450"/>
        <w:jc w:val="both"/>
        <w:rPr>
          <w:rFonts w:ascii="GHEA Grapalat" w:hAnsi="GHEA Grapalat" w:cs="Arial"/>
          <w:sz w:val="24"/>
          <w:szCs w:val="24"/>
          <w:lang w:val="hy-AM"/>
        </w:rPr>
      </w:pPr>
      <w:r w:rsidRPr="00AE09E5">
        <w:rPr>
          <w:rFonts w:ascii="GHEA Grapalat" w:hAnsi="GHEA Grapalat" w:cs="Arian AMU"/>
          <w:sz w:val="24"/>
          <w:szCs w:val="24"/>
          <w:shd w:val="clear" w:color="auto" w:fill="FFFFFF"/>
          <w:lang w:val="hy-AM"/>
        </w:rPr>
        <w:t xml:space="preserve">Ստացվում է, որ </w:t>
      </w:r>
      <w:r w:rsidRPr="00AE09E5">
        <w:rPr>
          <w:rFonts w:ascii="GHEA Grapalat" w:hAnsi="GHEA Grapalat" w:cs="Arial"/>
          <w:sz w:val="24"/>
          <w:szCs w:val="24"/>
          <w:lang w:val="hy-AM"/>
        </w:rPr>
        <w:t xml:space="preserve">«Հանրային ծառայության մասին» ՀՕ-172-Ն ՀՀ օրենքի 5-րդ հոդվածի 1-ին մասի 15-րդ կետը, որը սահմանել է </w:t>
      </w:r>
      <w:r w:rsidRPr="00AE09E5">
        <w:rPr>
          <w:rFonts w:ascii="GHEA Grapalat" w:hAnsi="GHEA Grapalat"/>
          <w:sz w:val="24"/>
          <w:szCs w:val="24"/>
          <w:lang w:val="hy-AM"/>
        </w:rPr>
        <w:t xml:space="preserve">բարձրաստիճան պաշտոնատար անձանց շրջանակը, ուժը կորցրած է ճանաչվել: Ըստ այդմ բարձրաստիճան պաշտոնատար անձանց շրջանակը բացահայտվել է </w:t>
      </w:r>
      <w:r w:rsidRPr="00AE09E5">
        <w:rPr>
          <w:rFonts w:ascii="GHEA Grapalat" w:hAnsi="GHEA Grapalat" w:cs="Arian AMU"/>
          <w:sz w:val="24"/>
          <w:szCs w:val="24"/>
          <w:shd w:val="clear" w:color="auto" w:fill="FFFFFF"/>
          <w:lang w:val="hy-AM"/>
        </w:rPr>
        <w:t>«Հանրային ծառայության մասին» ՀՕ-206-Ն ՀՀ օրենքով:</w:t>
      </w:r>
      <w:r w:rsidR="005C3D90">
        <w:rPr>
          <w:rFonts w:ascii="GHEA Grapalat" w:hAnsi="GHEA Grapalat" w:cs="Arian AMU"/>
          <w:sz w:val="24"/>
          <w:szCs w:val="24"/>
          <w:shd w:val="clear" w:color="auto" w:fill="FFFFFF"/>
          <w:lang w:val="hy-AM"/>
        </w:rPr>
        <w:t xml:space="preserve"> </w:t>
      </w:r>
      <w:r w:rsidRPr="00AE09E5">
        <w:rPr>
          <w:rFonts w:ascii="GHEA Grapalat" w:hAnsi="GHEA Grapalat" w:cs="Arian AMU"/>
          <w:sz w:val="24"/>
          <w:szCs w:val="24"/>
          <w:shd w:val="clear" w:color="auto" w:fill="FFFFFF"/>
          <w:lang w:val="hy-AM"/>
        </w:rPr>
        <w:t xml:space="preserve">Այսպես, </w:t>
      </w:r>
      <w:r w:rsidRPr="00AE09E5">
        <w:rPr>
          <w:rFonts w:ascii="GHEA Grapalat" w:hAnsi="GHEA Grapalat" w:cs="Arial"/>
          <w:sz w:val="24"/>
          <w:szCs w:val="24"/>
          <w:lang w:val="hy-AM"/>
        </w:rPr>
        <w:t>նշյալ</w:t>
      </w:r>
      <w:r w:rsidRPr="00AE09E5">
        <w:rPr>
          <w:rFonts w:ascii="GHEA Grapalat" w:hAnsi="GHEA Grapalat"/>
          <w:sz w:val="24"/>
          <w:szCs w:val="24"/>
          <w:lang w:val="hy-AM"/>
        </w:rPr>
        <w:t xml:space="preserve"> օրենքի համապարփակ ուսումնասիրության և վերլուծության արդյունքում պարզ է դառնում, որ </w:t>
      </w:r>
      <w:r w:rsidRPr="00AE09E5">
        <w:rPr>
          <w:rFonts w:ascii="GHEA Grapalat" w:hAnsi="GHEA Grapalat" w:cs="Arial"/>
          <w:sz w:val="24"/>
          <w:szCs w:val="24"/>
          <w:lang w:val="hy-AM"/>
        </w:rPr>
        <w:t>2018 թվականի ապրիլի 9-ին ուժի մեջ մտած օրենքի 60-րդ հոդվածը սահմանում է մ</w:t>
      </w:r>
      <w:r w:rsidRPr="00AE09E5">
        <w:rPr>
          <w:rFonts w:ascii="GHEA Grapalat" w:hAnsi="GHEA Grapalat"/>
          <w:sz w:val="24"/>
          <w:szCs w:val="24"/>
          <w:lang w:val="hy-AM"/>
        </w:rPr>
        <w:t>ինչև Կոռուպցիայի կանխարգելման հանձնաժողովի կազմավորումը Բարձրաստիճան պաշտոնատար անձանց էթիկայի հանձնաժողովի «Հանրային ծառայության մասին» ՀՀ ՀՕ-172-Ն օրենքի 43-րդ հոդվածի 1-ին մասում նշված «բարձրաստիճան պաշտոնատար անձ» բառերի փոխարեն (սուբյեկտային կազմի առումով) ներկայացվող պաշտոնների շրջանակը։ Այսինքն, վերոնշյալով սահմանում է բարձրաստիճան պաշտոնատար անձանց շրջանակը, ինչը նախկինում կարգավորվում էր</w:t>
      </w:r>
      <w:r w:rsidRPr="00AE09E5">
        <w:rPr>
          <w:rFonts w:ascii="GHEA Grapalat" w:hAnsi="GHEA Grapalat" w:cs="Arial"/>
          <w:sz w:val="24"/>
          <w:szCs w:val="24"/>
          <w:lang w:val="hy-AM"/>
        </w:rPr>
        <w:t xml:space="preserve"> «Հանրային ծառայության մասին» </w:t>
      </w:r>
      <w:r w:rsidRPr="00AE09E5">
        <w:rPr>
          <w:rFonts w:ascii="GHEA Grapalat" w:hAnsi="GHEA Grapalat"/>
          <w:sz w:val="24"/>
          <w:szCs w:val="24"/>
          <w:lang w:val="hy-AM"/>
        </w:rPr>
        <w:t xml:space="preserve">ՀՕ-172-Ն </w:t>
      </w:r>
      <w:r w:rsidRPr="00AE09E5">
        <w:rPr>
          <w:rFonts w:ascii="GHEA Grapalat" w:hAnsi="GHEA Grapalat" w:cs="Arial"/>
          <w:sz w:val="24"/>
          <w:szCs w:val="24"/>
          <w:lang w:val="hy-AM"/>
        </w:rPr>
        <w:t>ՀՀ օրենքի 5-րդ հոդվածի 1-ին մասի 15-րդ կետով։</w:t>
      </w:r>
      <w:r w:rsidR="00EE3916">
        <w:rPr>
          <w:rFonts w:ascii="GHEA Grapalat" w:hAnsi="GHEA Grapalat" w:cs="Arial"/>
          <w:sz w:val="24"/>
          <w:szCs w:val="24"/>
          <w:lang w:val="hy-AM"/>
        </w:rPr>
        <w:t xml:space="preserve"> </w:t>
      </w:r>
    </w:p>
    <w:p w:rsidR="002E3899" w:rsidRPr="002E3899" w:rsidRDefault="00EE3916" w:rsidP="002E3899">
      <w:pPr>
        <w:spacing w:after="0" w:line="360" w:lineRule="auto"/>
        <w:ind w:firstLine="450"/>
        <w:jc w:val="both"/>
        <w:rPr>
          <w:rFonts w:ascii="GHEA Grapalat" w:hAnsi="GHEA Grapalat"/>
          <w:sz w:val="24"/>
          <w:szCs w:val="24"/>
          <w:lang w:val="hy-AM"/>
        </w:rPr>
      </w:pPr>
      <w:r>
        <w:rPr>
          <w:rFonts w:ascii="GHEA Grapalat" w:hAnsi="GHEA Grapalat"/>
          <w:sz w:val="24"/>
          <w:szCs w:val="24"/>
          <w:lang w:val="hy-AM"/>
        </w:rPr>
        <w:t xml:space="preserve">Ստացվում է, որ </w:t>
      </w:r>
      <w:r w:rsidRPr="00EE3916">
        <w:rPr>
          <w:rFonts w:ascii="GHEA Grapalat" w:hAnsi="GHEA Grapalat"/>
          <w:sz w:val="24"/>
          <w:szCs w:val="24"/>
          <w:lang w:val="hy-AM"/>
        </w:rPr>
        <w:t>հայտարարագիր ներկայացնելու պարտականություն ունեցող անձ</w:t>
      </w:r>
      <w:r>
        <w:rPr>
          <w:rFonts w:ascii="GHEA Grapalat" w:hAnsi="GHEA Grapalat"/>
          <w:sz w:val="24"/>
          <w:szCs w:val="24"/>
          <w:lang w:val="hy-AM"/>
        </w:rPr>
        <w:t>անց շրջանակը փոփոխելով փոխվում է նաև տվյալ հանցակազմի սուբյեկտը</w:t>
      </w:r>
      <w:r w:rsidR="008B7FC6">
        <w:rPr>
          <w:rFonts w:ascii="GHEA Grapalat" w:hAnsi="GHEA Grapalat"/>
          <w:sz w:val="24"/>
          <w:szCs w:val="24"/>
          <w:lang w:val="hy-AM"/>
        </w:rPr>
        <w:t>,</w:t>
      </w:r>
      <w:r>
        <w:rPr>
          <w:rFonts w:ascii="GHEA Grapalat" w:hAnsi="GHEA Grapalat"/>
          <w:sz w:val="24"/>
          <w:szCs w:val="24"/>
          <w:lang w:val="hy-AM"/>
        </w:rPr>
        <w:t xml:space="preserve"> </w:t>
      </w:r>
      <w:r w:rsidR="008B7FC6">
        <w:rPr>
          <w:rFonts w:ascii="GHEA Grapalat" w:hAnsi="GHEA Grapalat"/>
          <w:sz w:val="24"/>
          <w:szCs w:val="24"/>
          <w:lang w:val="hy-AM"/>
        </w:rPr>
        <w:t>ի</w:t>
      </w:r>
      <w:r>
        <w:rPr>
          <w:rFonts w:ascii="GHEA Grapalat" w:hAnsi="GHEA Grapalat"/>
          <w:sz w:val="24"/>
          <w:szCs w:val="24"/>
          <w:lang w:val="hy-AM"/>
        </w:rPr>
        <w:t xml:space="preserve">նչի արդյունքում որոշ պաշտոնատար անձանց համար հանգեցնում է </w:t>
      </w:r>
      <w:r w:rsidR="008B7FC6">
        <w:rPr>
          <w:rFonts w:ascii="GHEA Grapalat" w:hAnsi="GHEA Grapalat"/>
          <w:sz w:val="24"/>
          <w:szCs w:val="24"/>
          <w:lang w:val="hy-AM"/>
        </w:rPr>
        <w:t>արարքի</w:t>
      </w:r>
      <w:r>
        <w:rPr>
          <w:rFonts w:ascii="GHEA Grapalat" w:hAnsi="GHEA Grapalat"/>
          <w:sz w:val="24"/>
          <w:szCs w:val="24"/>
          <w:lang w:val="hy-AM"/>
        </w:rPr>
        <w:t xml:space="preserve"> ապաքրեականացման</w:t>
      </w:r>
      <w:r w:rsidR="008B7FC6">
        <w:rPr>
          <w:rFonts w:ascii="GHEA Grapalat" w:hAnsi="GHEA Grapalat"/>
          <w:sz w:val="24"/>
          <w:szCs w:val="24"/>
          <w:lang w:val="hy-AM"/>
        </w:rPr>
        <w:t xml:space="preserve">: Ելնելով </w:t>
      </w:r>
      <w:r w:rsidR="008B7FC6">
        <w:rPr>
          <w:rFonts w:ascii="GHEA Grapalat" w:hAnsi="GHEA Grapalat"/>
          <w:sz w:val="24"/>
          <w:szCs w:val="24"/>
          <w:lang w:val="hy-AM"/>
        </w:rPr>
        <w:lastRenderedPageBreak/>
        <w:t>վերոգրյալից</w:t>
      </w:r>
      <w:r w:rsidR="007F0880">
        <w:rPr>
          <w:rFonts w:ascii="GHEA Grapalat" w:hAnsi="GHEA Grapalat"/>
          <w:sz w:val="24"/>
          <w:szCs w:val="24"/>
          <w:lang w:val="hy-AM"/>
        </w:rPr>
        <w:t>՝</w:t>
      </w:r>
      <w:r w:rsidR="008B7FC6">
        <w:rPr>
          <w:rFonts w:ascii="GHEA Grapalat" w:hAnsi="GHEA Grapalat"/>
          <w:sz w:val="24"/>
          <w:szCs w:val="24"/>
          <w:lang w:val="hy-AM"/>
        </w:rPr>
        <w:t xml:space="preserve"> հարկ է նշել, որ նշված</w:t>
      </w:r>
      <w:r w:rsidR="00833DEF">
        <w:rPr>
          <w:rFonts w:ascii="GHEA Grapalat" w:hAnsi="GHEA Grapalat"/>
          <w:sz w:val="24"/>
          <w:szCs w:val="24"/>
          <w:lang w:val="hy-AM"/>
        </w:rPr>
        <w:t>ի</w:t>
      </w:r>
      <w:r w:rsidR="008B7FC6">
        <w:rPr>
          <w:rFonts w:ascii="GHEA Grapalat" w:hAnsi="GHEA Grapalat"/>
          <w:sz w:val="24"/>
          <w:szCs w:val="24"/>
          <w:lang w:val="hy-AM"/>
        </w:rPr>
        <w:t xml:space="preserve"> արդյունքում </w:t>
      </w:r>
      <w:r>
        <w:rPr>
          <w:rFonts w:ascii="GHEA Grapalat" w:hAnsi="GHEA Grapalat"/>
          <w:sz w:val="24"/>
          <w:szCs w:val="24"/>
          <w:lang w:val="hy-AM"/>
        </w:rPr>
        <w:t>իրավունքի ուժով պետք է բացառ</w:t>
      </w:r>
      <w:r w:rsidR="008B7FC6">
        <w:rPr>
          <w:rFonts w:ascii="GHEA Grapalat" w:hAnsi="GHEA Grapalat"/>
          <w:sz w:val="24"/>
          <w:szCs w:val="24"/>
          <w:lang w:val="hy-AM"/>
        </w:rPr>
        <w:t>վ</w:t>
      </w:r>
      <w:r>
        <w:rPr>
          <w:rFonts w:ascii="GHEA Grapalat" w:hAnsi="GHEA Grapalat"/>
          <w:sz w:val="24"/>
          <w:szCs w:val="24"/>
          <w:lang w:val="hy-AM"/>
        </w:rPr>
        <w:t xml:space="preserve">ի գործի հարուցումը կամ քրեական հետապնդումը: </w:t>
      </w:r>
      <w:r w:rsidR="004D2253">
        <w:rPr>
          <w:rFonts w:ascii="GHEA Grapalat" w:hAnsi="GHEA Grapalat"/>
          <w:sz w:val="24"/>
          <w:szCs w:val="24"/>
          <w:lang w:val="hy-AM"/>
        </w:rPr>
        <w:t>Հակառակ պարագայում չի կիրառվի ՀՀ Սահմանադրությամբ, միջազգային չափանիշներով և ՀՀ օրենսդրությամբ նախատեսված՝ իրավունքի ուժով կիրառվող ա</w:t>
      </w:r>
      <w:r w:rsidR="004D2253" w:rsidRPr="004D2253">
        <w:rPr>
          <w:rFonts w:ascii="GHEA Grapalat" w:hAnsi="GHEA Grapalat"/>
          <w:sz w:val="24"/>
          <w:szCs w:val="24"/>
          <w:lang w:val="hy-AM"/>
        </w:rPr>
        <w:t>րարքի պատժելիությունը վերացնող կամ պատիժը մեղմացնող օրենքն հետադարձ ուժ</w:t>
      </w:r>
      <w:r w:rsidR="004D2253">
        <w:rPr>
          <w:rFonts w:ascii="GHEA Grapalat" w:hAnsi="GHEA Grapalat"/>
          <w:sz w:val="24"/>
          <w:szCs w:val="24"/>
          <w:lang w:val="hy-AM"/>
        </w:rPr>
        <w:t>ի սկզբունքը</w:t>
      </w:r>
      <w:r w:rsidR="009D2645">
        <w:rPr>
          <w:rFonts w:ascii="GHEA Grapalat" w:hAnsi="GHEA Grapalat"/>
          <w:sz w:val="24"/>
          <w:szCs w:val="24"/>
          <w:lang w:val="hy-AM"/>
        </w:rPr>
        <w:t xml:space="preserve">՝ դրանով իսկ հակասելով ՀՀ Սահմանադրության 72-րդ </w:t>
      </w:r>
      <w:r w:rsidR="002F754C">
        <w:rPr>
          <w:rFonts w:ascii="GHEA Grapalat" w:hAnsi="GHEA Grapalat"/>
          <w:sz w:val="24"/>
          <w:szCs w:val="24"/>
          <w:lang w:val="hy-AM"/>
        </w:rPr>
        <w:t>և 81-րդ հոդվածներին</w:t>
      </w:r>
      <w:r w:rsidR="004D2253">
        <w:rPr>
          <w:rFonts w:ascii="GHEA Grapalat" w:hAnsi="GHEA Grapalat"/>
          <w:sz w:val="24"/>
          <w:szCs w:val="24"/>
          <w:lang w:val="hy-AM"/>
        </w:rPr>
        <w:t>:</w:t>
      </w:r>
      <w:r w:rsidR="00014386" w:rsidRPr="002E3899">
        <w:rPr>
          <w:rFonts w:ascii="GHEA Grapalat" w:hAnsi="GHEA Grapalat"/>
          <w:sz w:val="24"/>
          <w:szCs w:val="24"/>
          <w:lang w:val="hy-AM"/>
        </w:rPr>
        <w:t xml:space="preserve"> </w:t>
      </w:r>
    </w:p>
    <w:p w:rsidR="002E3899" w:rsidRPr="002E3899" w:rsidRDefault="002E3899" w:rsidP="002E3899">
      <w:pPr>
        <w:spacing w:after="0" w:line="360" w:lineRule="auto"/>
        <w:ind w:firstLine="450"/>
        <w:jc w:val="both"/>
        <w:rPr>
          <w:rFonts w:ascii="GHEA Grapalat" w:hAnsi="GHEA Grapalat"/>
          <w:sz w:val="24"/>
          <w:szCs w:val="24"/>
          <w:lang w:val="hy-AM"/>
        </w:rPr>
      </w:pPr>
    </w:p>
    <w:sectPr w:rsidR="002E3899" w:rsidRPr="002E3899" w:rsidSect="00014386">
      <w:footerReference w:type="default" r:id="rId8"/>
      <w:pgSz w:w="12240" w:h="15840"/>
      <w:pgMar w:top="1350" w:right="990" w:bottom="1170" w:left="1080" w:header="720" w:footer="8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B7" w:rsidRDefault="00A216B7" w:rsidP="00C314D8">
      <w:pPr>
        <w:spacing w:after="0" w:line="240" w:lineRule="auto"/>
      </w:pPr>
      <w:r>
        <w:separator/>
      </w:r>
    </w:p>
  </w:endnote>
  <w:endnote w:type="continuationSeparator" w:id="0">
    <w:p w:rsidR="00A216B7" w:rsidRDefault="00A216B7" w:rsidP="00C3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n AMU">
    <w:altName w:val="Tahoma"/>
    <w:charset w:val="CC"/>
    <w:family w:val="auto"/>
    <w:pitch w:val="variable"/>
    <w:sig w:usb0="A1002E8F" w:usb1="10000008" w:usb2="00000000"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657741"/>
      <w:docPartObj>
        <w:docPartGallery w:val="Page Numbers (Bottom of Page)"/>
        <w:docPartUnique/>
      </w:docPartObj>
    </w:sdtPr>
    <w:sdtEndPr>
      <w:rPr>
        <w:noProof/>
      </w:rPr>
    </w:sdtEndPr>
    <w:sdtContent>
      <w:p w:rsidR="00E612C6" w:rsidRDefault="008C70BE">
        <w:pPr>
          <w:pStyle w:val="Footer"/>
          <w:jc w:val="center"/>
        </w:pPr>
        <w:r>
          <w:fldChar w:fldCharType="begin"/>
        </w:r>
        <w:r>
          <w:instrText xml:space="preserve"> PAGE   \* MERGEFORMAT </w:instrText>
        </w:r>
        <w:r>
          <w:fldChar w:fldCharType="separate"/>
        </w:r>
        <w:r w:rsidR="00E4146D">
          <w:rPr>
            <w:noProof/>
          </w:rPr>
          <w:t>8</w:t>
        </w:r>
        <w:r>
          <w:rPr>
            <w:noProof/>
          </w:rPr>
          <w:fldChar w:fldCharType="end"/>
        </w:r>
      </w:p>
    </w:sdtContent>
  </w:sdt>
  <w:p w:rsidR="00E612C6" w:rsidRDefault="00E612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B7" w:rsidRDefault="00A216B7" w:rsidP="00C314D8">
      <w:pPr>
        <w:spacing w:after="0" w:line="240" w:lineRule="auto"/>
      </w:pPr>
      <w:r>
        <w:separator/>
      </w:r>
    </w:p>
  </w:footnote>
  <w:footnote w:type="continuationSeparator" w:id="0">
    <w:p w:rsidR="00A216B7" w:rsidRDefault="00A216B7" w:rsidP="00C314D8">
      <w:pPr>
        <w:spacing w:after="0" w:line="240" w:lineRule="auto"/>
      </w:pPr>
      <w:r>
        <w:continuationSeparator/>
      </w:r>
    </w:p>
  </w:footnote>
  <w:footnote w:id="1">
    <w:p w:rsidR="00833DEF" w:rsidRPr="00833DEF" w:rsidRDefault="00833DEF">
      <w:pPr>
        <w:pStyle w:val="FootnoteText"/>
        <w:rPr>
          <w:rFonts w:ascii="GHEA Grapalat" w:hAnsi="GHEA Grapalat"/>
          <w:lang w:val="hy-AM"/>
        </w:rPr>
      </w:pPr>
      <w:r>
        <w:rPr>
          <w:rStyle w:val="FootnoteReference"/>
        </w:rPr>
        <w:footnoteRef/>
      </w:r>
      <w:r>
        <w:t xml:space="preserve"> </w:t>
      </w:r>
      <w:r w:rsidRPr="00833DEF">
        <w:t xml:space="preserve"> </w:t>
      </w:r>
      <w:r w:rsidRPr="00833DEF">
        <w:rPr>
          <w:rFonts w:ascii="GHEA Grapalat" w:hAnsi="GHEA Grapalat"/>
          <w:lang w:val="hy-AM"/>
        </w:rPr>
        <w:t>Տես Մաքթուֆն ու Դամյանովիչն ընդդեմ Բոսնիա և Հերցեգովինայի գործով (MAKTOUF AND DAMJANOVIĆ v. BOSNIA AND HERZEGOVINA), 2013 թվականի հուլիսի 18-ի վճիռը, գանգատ թիվ՝ 2312/08 34179/08</w:t>
      </w:r>
      <w:r w:rsidRPr="00833DEF">
        <w:rPr>
          <w:rFonts w:ascii="Calibri" w:hAnsi="Calibri" w:cs="Calibri"/>
          <w:lang w:val="hy-AM"/>
        </w:rPr>
        <w:t>   </w:t>
      </w:r>
    </w:p>
  </w:footnote>
  <w:footnote w:id="2">
    <w:p w:rsidR="002E3899" w:rsidRPr="00986A44" w:rsidRDefault="002E3899" w:rsidP="00986A44">
      <w:pPr>
        <w:pStyle w:val="FootnoteText"/>
        <w:jc w:val="both"/>
        <w:rPr>
          <w:rFonts w:ascii="GHEA Grapalat" w:hAnsi="GHEA Grapalat"/>
          <w:lang w:val="hy-AM"/>
        </w:rPr>
      </w:pPr>
      <w:r w:rsidRPr="00986A44">
        <w:rPr>
          <w:rStyle w:val="FootnoteReference"/>
          <w:rFonts w:ascii="GHEA Grapalat" w:hAnsi="GHEA Grapalat"/>
        </w:rPr>
        <w:footnoteRef/>
      </w:r>
      <w:r w:rsidRPr="00986A44">
        <w:rPr>
          <w:rFonts w:ascii="GHEA Grapalat" w:hAnsi="GHEA Grapalat"/>
        </w:rPr>
        <w:t xml:space="preserve"> </w:t>
      </w:r>
      <w:r w:rsidRPr="00986A44">
        <w:rPr>
          <w:rFonts w:ascii="GHEA Grapalat" w:hAnsi="GHEA Grapalat"/>
          <w:lang w:val="hy-AM"/>
        </w:rPr>
        <w:t xml:space="preserve">Տե՛ս Հայաստանի Հանրապետության քրեական իրավունք: Ընդհանուր մաս Հ247 </w:t>
      </w:r>
      <w:r w:rsidRPr="00986A44">
        <w:rPr>
          <w:rFonts w:ascii="GHEA Grapalat" w:hAnsi="GHEA Grapalat"/>
        </w:rPr>
        <w:t>(</w:t>
      </w:r>
      <w:r w:rsidRPr="00986A44">
        <w:rPr>
          <w:rFonts w:ascii="GHEA Grapalat" w:hAnsi="GHEA Grapalat"/>
          <w:lang w:val="hy-AM"/>
        </w:rPr>
        <w:t>Երրորդ հրատարակություն՝փոփոխություններով և լրացումներով</w:t>
      </w:r>
      <w:r w:rsidRPr="00986A44">
        <w:rPr>
          <w:rFonts w:ascii="GHEA Grapalat" w:hAnsi="GHEA Grapalat"/>
        </w:rPr>
        <w:t>)</w:t>
      </w:r>
      <w:r w:rsidRPr="00986A44">
        <w:rPr>
          <w:rFonts w:ascii="GHEA Grapalat" w:hAnsi="GHEA Grapalat"/>
          <w:lang w:val="hy-AM"/>
        </w:rPr>
        <w:t>./Ս. Առաքելյան, Ա. Գաբուզյան, Հ. Խաչիկյան և ուրիշ. – Եր.: Երևանի համալս. Հրատ., 2007, էջ 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A39"/>
    <w:multiLevelType w:val="hybridMultilevel"/>
    <w:tmpl w:val="5F12BCE6"/>
    <w:lvl w:ilvl="0" w:tplc="7A72CBE4">
      <w:start w:val="1"/>
      <w:numFmt w:val="low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C7"/>
    <w:rsid w:val="00014386"/>
    <w:rsid w:val="00015785"/>
    <w:rsid w:val="0003650F"/>
    <w:rsid w:val="00053D0A"/>
    <w:rsid w:val="00090308"/>
    <w:rsid w:val="00095850"/>
    <w:rsid w:val="000965B4"/>
    <w:rsid w:val="000A77DB"/>
    <w:rsid w:val="000C163A"/>
    <w:rsid w:val="000C545E"/>
    <w:rsid w:val="000C7DE3"/>
    <w:rsid w:val="000D638C"/>
    <w:rsid w:val="0012232C"/>
    <w:rsid w:val="001353EB"/>
    <w:rsid w:val="0013717F"/>
    <w:rsid w:val="00182198"/>
    <w:rsid w:val="001932AD"/>
    <w:rsid w:val="001949C0"/>
    <w:rsid w:val="00197B66"/>
    <w:rsid w:val="001D55F9"/>
    <w:rsid w:val="001F513F"/>
    <w:rsid w:val="001F5FEA"/>
    <w:rsid w:val="002027FB"/>
    <w:rsid w:val="00215C2E"/>
    <w:rsid w:val="00216A96"/>
    <w:rsid w:val="002264F7"/>
    <w:rsid w:val="00266A80"/>
    <w:rsid w:val="00281E71"/>
    <w:rsid w:val="002D6E4E"/>
    <w:rsid w:val="002E3899"/>
    <w:rsid w:val="002F754C"/>
    <w:rsid w:val="003076BF"/>
    <w:rsid w:val="003360CB"/>
    <w:rsid w:val="003408FF"/>
    <w:rsid w:val="00355224"/>
    <w:rsid w:val="00362473"/>
    <w:rsid w:val="003857DE"/>
    <w:rsid w:val="003861A4"/>
    <w:rsid w:val="00391CD4"/>
    <w:rsid w:val="003A6E47"/>
    <w:rsid w:val="003C16AC"/>
    <w:rsid w:val="003C5D90"/>
    <w:rsid w:val="003E6A34"/>
    <w:rsid w:val="00403C6D"/>
    <w:rsid w:val="00433C87"/>
    <w:rsid w:val="00467F1C"/>
    <w:rsid w:val="004800B0"/>
    <w:rsid w:val="004A4FB8"/>
    <w:rsid w:val="004A7002"/>
    <w:rsid w:val="004C5B08"/>
    <w:rsid w:val="004D2253"/>
    <w:rsid w:val="004E228E"/>
    <w:rsid w:val="00500A52"/>
    <w:rsid w:val="0052494E"/>
    <w:rsid w:val="005415AF"/>
    <w:rsid w:val="00552EF1"/>
    <w:rsid w:val="0056442E"/>
    <w:rsid w:val="00564AB0"/>
    <w:rsid w:val="005B124A"/>
    <w:rsid w:val="005C315A"/>
    <w:rsid w:val="005C3D90"/>
    <w:rsid w:val="005D2108"/>
    <w:rsid w:val="006166BA"/>
    <w:rsid w:val="00621045"/>
    <w:rsid w:val="00636EA8"/>
    <w:rsid w:val="00653B8C"/>
    <w:rsid w:val="00687FD2"/>
    <w:rsid w:val="0069030D"/>
    <w:rsid w:val="006B02D3"/>
    <w:rsid w:val="006B78B3"/>
    <w:rsid w:val="007256E7"/>
    <w:rsid w:val="00770ADF"/>
    <w:rsid w:val="00775DB6"/>
    <w:rsid w:val="00775ECE"/>
    <w:rsid w:val="00776DC6"/>
    <w:rsid w:val="00781AB9"/>
    <w:rsid w:val="00793F6B"/>
    <w:rsid w:val="0079489D"/>
    <w:rsid w:val="00795DEB"/>
    <w:rsid w:val="007A5C3A"/>
    <w:rsid w:val="007B4E53"/>
    <w:rsid w:val="007C1406"/>
    <w:rsid w:val="007C1EA4"/>
    <w:rsid w:val="007D2ACB"/>
    <w:rsid w:val="007E2B32"/>
    <w:rsid w:val="007E4A65"/>
    <w:rsid w:val="007E68E0"/>
    <w:rsid w:val="007F0880"/>
    <w:rsid w:val="0083071D"/>
    <w:rsid w:val="00831771"/>
    <w:rsid w:val="00833DEF"/>
    <w:rsid w:val="00844993"/>
    <w:rsid w:val="00845380"/>
    <w:rsid w:val="00854F7C"/>
    <w:rsid w:val="008B69D7"/>
    <w:rsid w:val="008B7FC6"/>
    <w:rsid w:val="008C70BE"/>
    <w:rsid w:val="008D722C"/>
    <w:rsid w:val="008F4549"/>
    <w:rsid w:val="00906166"/>
    <w:rsid w:val="00911B18"/>
    <w:rsid w:val="0091333A"/>
    <w:rsid w:val="009200AF"/>
    <w:rsid w:val="009201CF"/>
    <w:rsid w:val="00926747"/>
    <w:rsid w:val="00935923"/>
    <w:rsid w:val="00944EAA"/>
    <w:rsid w:val="00967DE5"/>
    <w:rsid w:val="00986A44"/>
    <w:rsid w:val="00992CF9"/>
    <w:rsid w:val="00997BB0"/>
    <w:rsid w:val="009B0F24"/>
    <w:rsid w:val="009B6E11"/>
    <w:rsid w:val="009C36FD"/>
    <w:rsid w:val="009D2645"/>
    <w:rsid w:val="009F3663"/>
    <w:rsid w:val="00A074EA"/>
    <w:rsid w:val="00A216B7"/>
    <w:rsid w:val="00A229C2"/>
    <w:rsid w:val="00A401CC"/>
    <w:rsid w:val="00A41F02"/>
    <w:rsid w:val="00A61375"/>
    <w:rsid w:val="00A936FF"/>
    <w:rsid w:val="00AD0003"/>
    <w:rsid w:val="00AE09E5"/>
    <w:rsid w:val="00AE28C7"/>
    <w:rsid w:val="00AF6218"/>
    <w:rsid w:val="00B03296"/>
    <w:rsid w:val="00B10FD5"/>
    <w:rsid w:val="00B123F4"/>
    <w:rsid w:val="00B219B9"/>
    <w:rsid w:val="00B46335"/>
    <w:rsid w:val="00B74F32"/>
    <w:rsid w:val="00B80F28"/>
    <w:rsid w:val="00B871B5"/>
    <w:rsid w:val="00B924A9"/>
    <w:rsid w:val="00B959AA"/>
    <w:rsid w:val="00BA3E8B"/>
    <w:rsid w:val="00BA52C6"/>
    <w:rsid w:val="00BE474D"/>
    <w:rsid w:val="00BE59FC"/>
    <w:rsid w:val="00C21293"/>
    <w:rsid w:val="00C21F2B"/>
    <w:rsid w:val="00C23B89"/>
    <w:rsid w:val="00C24A61"/>
    <w:rsid w:val="00C314D8"/>
    <w:rsid w:val="00C552FC"/>
    <w:rsid w:val="00C6204B"/>
    <w:rsid w:val="00CC4D19"/>
    <w:rsid w:val="00CF1D1F"/>
    <w:rsid w:val="00D166CA"/>
    <w:rsid w:val="00D36CEB"/>
    <w:rsid w:val="00D4725B"/>
    <w:rsid w:val="00D54540"/>
    <w:rsid w:val="00D85D40"/>
    <w:rsid w:val="00DA32F9"/>
    <w:rsid w:val="00DA7836"/>
    <w:rsid w:val="00DC6469"/>
    <w:rsid w:val="00DF4FB1"/>
    <w:rsid w:val="00DF7598"/>
    <w:rsid w:val="00E34C03"/>
    <w:rsid w:val="00E4146D"/>
    <w:rsid w:val="00E56295"/>
    <w:rsid w:val="00E612C6"/>
    <w:rsid w:val="00E67A1F"/>
    <w:rsid w:val="00E702E3"/>
    <w:rsid w:val="00E8582F"/>
    <w:rsid w:val="00E86342"/>
    <w:rsid w:val="00E97D33"/>
    <w:rsid w:val="00EB7AD1"/>
    <w:rsid w:val="00ED6E0E"/>
    <w:rsid w:val="00EE247D"/>
    <w:rsid w:val="00EE3916"/>
    <w:rsid w:val="00EE3BAE"/>
    <w:rsid w:val="00F13CD8"/>
    <w:rsid w:val="00F154BA"/>
    <w:rsid w:val="00F33D04"/>
    <w:rsid w:val="00F63F77"/>
    <w:rsid w:val="00F716E3"/>
    <w:rsid w:val="00F809B4"/>
    <w:rsid w:val="00F91827"/>
    <w:rsid w:val="00FB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4425B"/>
  <w15:docId w15:val="{1216A42E-A4D7-4AF8-90AE-4459B800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6B"/>
  </w:style>
  <w:style w:type="paragraph" w:styleId="Heading1">
    <w:name w:val="heading 1"/>
    <w:basedOn w:val="Normal"/>
    <w:link w:val="Heading1Char"/>
    <w:uiPriority w:val="9"/>
    <w:qFormat/>
    <w:rsid w:val="00C21F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
    <w:basedOn w:val="Normal"/>
    <w:link w:val="ListParagraphChar"/>
    <w:uiPriority w:val="34"/>
    <w:qFormat/>
    <w:rsid w:val="000965B4"/>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5_G"/>
    <w:basedOn w:val="Normal"/>
    <w:link w:val="FootnoteTextChar"/>
    <w:uiPriority w:val="99"/>
    <w:unhideWhenUsed/>
    <w:qFormat/>
    <w:rsid w:val="00C314D8"/>
    <w:pPr>
      <w:spacing w:after="0" w:line="240" w:lineRule="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C314D8"/>
    <w:rPr>
      <w:sz w:val="20"/>
      <w:szCs w:val="20"/>
    </w:rPr>
  </w:style>
  <w:style w:type="character" w:styleId="FootnoteReference">
    <w:name w:val="footnote reference"/>
    <w:aliases w:val="BVI fnr Char Char Char Char,BVI fnr Car Car Char Char Char Char,BVI fnr Car Char Char Char Char,BVI fnr Car Car Car Car Char Char Char Char,BVI fnr Car Car Car Car Char Char Char Char Char,BVI fnr Char Char Char Char Char Char Char"/>
    <w:basedOn w:val="DefaultParagraphFont"/>
    <w:link w:val="BVIfnrCharCharChar"/>
    <w:uiPriority w:val="99"/>
    <w:unhideWhenUsed/>
    <w:rsid w:val="00C314D8"/>
    <w:rPr>
      <w:vertAlign w:val="superscript"/>
    </w:rPr>
  </w:style>
  <w:style w:type="character" w:customStyle="1" w:styleId="Heading1Char">
    <w:name w:val="Heading 1 Char"/>
    <w:basedOn w:val="DefaultParagraphFont"/>
    <w:link w:val="Heading1"/>
    <w:uiPriority w:val="9"/>
    <w:rsid w:val="00C21F2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56295"/>
    <w:rPr>
      <w:i/>
      <w:iCs/>
    </w:rPr>
  </w:style>
  <w:style w:type="paragraph" w:styleId="Header">
    <w:name w:val="header"/>
    <w:basedOn w:val="Normal"/>
    <w:link w:val="HeaderChar"/>
    <w:uiPriority w:val="99"/>
    <w:unhideWhenUsed/>
    <w:rsid w:val="006B0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D3"/>
  </w:style>
  <w:style w:type="paragraph" w:styleId="Footer">
    <w:name w:val="footer"/>
    <w:basedOn w:val="Normal"/>
    <w:link w:val="FooterChar"/>
    <w:uiPriority w:val="99"/>
    <w:unhideWhenUsed/>
    <w:rsid w:val="006B0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D3"/>
  </w:style>
  <w:style w:type="paragraph" w:styleId="BalloonText">
    <w:name w:val="Balloon Text"/>
    <w:basedOn w:val="Normal"/>
    <w:link w:val="BalloonTextChar"/>
    <w:uiPriority w:val="99"/>
    <w:semiHidden/>
    <w:unhideWhenUsed/>
    <w:rsid w:val="00A4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F02"/>
    <w:rPr>
      <w:rFonts w:ascii="Segoe UI" w:hAnsi="Segoe UI" w:cs="Segoe UI"/>
      <w:sz w:val="18"/>
      <w:szCs w:val="18"/>
    </w:rPr>
  </w:style>
  <w:style w:type="paragraph" w:customStyle="1" w:styleId="s32b251d">
    <w:name w:val="s32b251d"/>
    <w:basedOn w:val="Normal"/>
    <w:rsid w:val="00467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DefaultParagraphFont"/>
    <w:rsid w:val="00467F1C"/>
  </w:style>
  <w:style w:type="character" w:customStyle="1" w:styleId="s7d2086b4">
    <w:name w:val="s7d2086b4"/>
    <w:basedOn w:val="DefaultParagraphFont"/>
    <w:rsid w:val="00467F1C"/>
  </w:style>
  <w:style w:type="character" w:customStyle="1" w:styleId="s6b621b36">
    <w:name w:val="s6b621b36"/>
    <w:basedOn w:val="DefaultParagraphFont"/>
    <w:rsid w:val="00467F1C"/>
  </w:style>
  <w:style w:type="character" w:styleId="Hyperlink">
    <w:name w:val="Hyperlink"/>
    <w:basedOn w:val="DefaultParagraphFont"/>
    <w:uiPriority w:val="99"/>
    <w:unhideWhenUsed/>
    <w:rsid w:val="00467F1C"/>
    <w:rPr>
      <w:color w:val="0000FF"/>
      <w:u w:val="single"/>
    </w:rPr>
  </w:style>
  <w:style w:type="paragraph" w:customStyle="1" w:styleId="s86e29719">
    <w:name w:val="s86e29719"/>
    <w:basedOn w:val="Normal"/>
    <w:rsid w:val="00467F1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7B66"/>
    <w:rPr>
      <w:sz w:val="16"/>
      <w:szCs w:val="16"/>
    </w:rPr>
  </w:style>
  <w:style w:type="paragraph" w:styleId="CommentText">
    <w:name w:val="annotation text"/>
    <w:basedOn w:val="Normal"/>
    <w:link w:val="CommentTextChar"/>
    <w:uiPriority w:val="99"/>
    <w:semiHidden/>
    <w:unhideWhenUsed/>
    <w:rsid w:val="00197B66"/>
    <w:pPr>
      <w:spacing w:line="240" w:lineRule="auto"/>
    </w:pPr>
    <w:rPr>
      <w:sz w:val="20"/>
      <w:szCs w:val="20"/>
    </w:rPr>
  </w:style>
  <w:style w:type="character" w:customStyle="1" w:styleId="CommentTextChar">
    <w:name w:val="Comment Text Char"/>
    <w:basedOn w:val="DefaultParagraphFont"/>
    <w:link w:val="CommentText"/>
    <w:uiPriority w:val="99"/>
    <w:semiHidden/>
    <w:rsid w:val="00197B66"/>
    <w:rPr>
      <w:sz w:val="20"/>
      <w:szCs w:val="20"/>
    </w:rPr>
  </w:style>
  <w:style w:type="paragraph" w:styleId="CommentSubject">
    <w:name w:val="annotation subject"/>
    <w:basedOn w:val="CommentText"/>
    <w:next w:val="CommentText"/>
    <w:link w:val="CommentSubjectChar"/>
    <w:uiPriority w:val="99"/>
    <w:semiHidden/>
    <w:unhideWhenUsed/>
    <w:rsid w:val="00197B66"/>
    <w:rPr>
      <w:b/>
      <w:bCs/>
    </w:rPr>
  </w:style>
  <w:style w:type="character" w:customStyle="1" w:styleId="CommentSubjectChar">
    <w:name w:val="Comment Subject Char"/>
    <w:basedOn w:val="CommentTextChar"/>
    <w:link w:val="CommentSubject"/>
    <w:uiPriority w:val="99"/>
    <w:semiHidden/>
    <w:rsid w:val="00197B66"/>
    <w:rPr>
      <w:b/>
      <w:bCs/>
      <w:sz w:val="20"/>
      <w:szCs w:val="20"/>
    </w:rPr>
  </w:style>
  <w:style w:type="character" w:customStyle="1" w:styleId="BodyText1">
    <w:name w:val="Body Text1"/>
    <w:basedOn w:val="DefaultParagraphFont"/>
    <w:rsid w:val="00776DC6"/>
    <w:rPr>
      <w:b w:val="0"/>
      <w:bCs w:val="0"/>
      <w:i w:val="0"/>
      <w:iCs w:val="0"/>
      <w:smallCaps w:val="0"/>
      <w:strike w:val="0"/>
      <w:spacing w:val="0"/>
      <w:sz w:val="19"/>
      <w:szCs w:val="19"/>
    </w:rPr>
  </w:style>
  <w:style w:type="character" w:customStyle="1" w:styleId="BodytextItalic">
    <w:name w:val="Body text + Italic"/>
    <w:basedOn w:val="DefaultParagraphFont"/>
    <w:rsid w:val="00776DC6"/>
    <w:rPr>
      <w:b w:val="0"/>
      <w:bCs w:val="0"/>
      <w:i/>
      <w:iCs/>
      <w:smallCaps w:val="0"/>
      <w:strike w:val="0"/>
      <w:spacing w:val="0"/>
      <w:sz w:val="19"/>
      <w:szCs w:val="19"/>
    </w:rPr>
  </w:style>
  <w:style w:type="character" w:customStyle="1" w:styleId="BodytextSylfaen">
    <w:name w:val="Body text + Sylfaen"/>
    <w:aliases w:val="10.5 pt,Bold"/>
    <w:basedOn w:val="DefaultParagraphFont"/>
    <w:rsid w:val="005C315A"/>
    <w:rPr>
      <w:rFonts w:ascii="Sylfaen" w:eastAsia="Sylfaen" w:hAnsi="Sylfaen" w:cs="Sylfaen"/>
      <w:b/>
      <w:bCs/>
      <w:i w:val="0"/>
      <w:iCs w:val="0"/>
      <w:smallCaps w:val="0"/>
      <w:strike w:val="0"/>
      <w:spacing w:val="0"/>
      <w:sz w:val="21"/>
      <w:szCs w:val="21"/>
    </w:rPr>
  </w:style>
  <w:style w:type="character" w:customStyle="1" w:styleId="Bodytext">
    <w:name w:val="Body text_"/>
    <w:basedOn w:val="DefaultParagraphFont"/>
    <w:rsid w:val="00B74F32"/>
    <w:rPr>
      <w:b w:val="0"/>
      <w:bCs w:val="0"/>
      <w:i w:val="0"/>
      <w:iCs w:val="0"/>
      <w:smallCaps w:val="0"/>
      <w:strike w:val="0"/>
      <w:spacing w:val="0"/>
      <w:sz w:val="19"/>
      <w:szCs w:val="19"/>
    </w:rPr>
  </w:style>
  <w:style w:type="paragraph" w:customStyle="1" w:styleId="BVIfnrCharCharChar">
    <w:name w:val="BVI fnr Char Char Char"/>
    <w:aliases w:val="BVI fnr Car Car Char Char Char,BVI fnr Car Char Char Char,BVI fnr Car Car Car Car Char Char Char,BVI fnr Char Char Char Char Char Char,ftref,16 Point,Superscript 6 Po"/>
    <w:basedOn w:val="Normal"/>
    <w:link w:val="FootnoteReference"/>
    <w:uiPriority w:val="99"/>
    <w:qFormat/>
    <w:rsid w:val="00182198"/>
    <w:pPr>
      <w:spacing w:line="240" w:lineRule="exact"/>
    </w:pPr>
    <w:rPr>
      <w:vertAlign w:val="superscript"/>
    </w:rPr>
  </w:style>
  <w:style w:type="character" w:customStyle="1" w:styleId="ListParagraphChar">
    <w:name w:val="List Paragraph Char"/>
    <w:aliases w:val="Akapit z listą BS Char,List Paragraph 1 Char,List_Paragraph Char,Multilevel para_II Char"/>
    <w:link w:val="ListParagraph"/>
    <w:uiPriority w:val="34"/>
    <w:locked/>
    <w:rsid w:val="001821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519">
      <w:bodyDiv w:val="1"/>
      <w:marLeft w:val="0"/>
      <w:marRight w:val="0"/>
      <w:marTop w:val="0"/>
      <w:marBottom w:val="0"/>
      <w:divBdr>
        <w:top w:val="none" w:sz="0" w:space="0" w:color="auto"/>
        <w:left w:val="none" w:sz="0" w:space="0" w:color="auto"/>
        <w:bottom w:val="none" w:sz="0" w:space="0" w:color="auto"/>
        <w:right w:val="none" w:sz="0" w:space="0" w:color="auto"/>
      </w:divBdr>
    </w:div>
    <w:div w:id="220941365">
      <w:bodyDiv w:val="1"/>
      <w:marLeft w:val="0"/>
      <w:marRight w:val="0"/>
      <w:marTop w:val="0"/>
      <w:marBottom w:val="0"/>
      <w:divBdr>
        <w:top w:val="none" w:sz="0" w:space="0" w:color="auto"/>
        <w:left w:val="none" w:sz="0" w:space="0" w:color="auto"/>
        <w:bottom w:val="none" w:sz="0" w:space="0" w:color="auto"/>
        <w:right w:val="none" w:sz="0" w:space="0" w:color="auto"/>
      </w:divBdr>
    </w:div>
    <w:div w:id="512185635">
      <w:bodyDiv w:val="1"/>
      <w:marLeft w:val="0"/>
      <w:marRight w:val="0"/>
      <w:marTop w:val="0"/>
      <w:marBottom w:val="0"/>
      <w:divBdr>
        <w:top w:val="none" w:sz="0" w:space="0" w:color="auto"/>
        <w:left w:val="none" w:sz="0" w:space="0" w:color="auto"/>
        <w:bottom w:val="none" w:sz="0" w:space="0" w:color="auto"/>
        <w:right w:val="none" w:sz="0" w:space="0" w:color="auto"/>
      </w:divBdr>
    </w:div>
    <w:div w:id="866603411">
      <w:bodyDiv w:val="1"/>
      <w:marLeft w:val="0"/>
      <w:marRight w:val="0"/>
      <w:marTop w:val="0"/>
      <w:marBottom w:val="0"/>
      <w:divBdr>
        <w:top w:val="none" w:sz="0" w:space="0" w:color="auto"/>
        <w:left w:val="none" w:sz="0" w:space="0" w:color="auto"/>
        <w:bottom w:val="none" w:sz="0" w:space="0" w:color="auto"/>
        <w:right w:val="none" w:sz="0" w:space="0" w:color="auto"/>
      </w:divBdr>
    </w:div>
    <w:div w:id="1317297481">
      <w:bodyDiv w:val="1"/>
      <w:marLeft w:val="0"/>
      <w:marRight w:val="0"/>
      <w:marTop w:val="0"/>
      <w:marBottom w:val="0"/>
      <w:divBdr>
        <w:top w:val="none" w:sz="0" w:space="0" w:color="auto"/>
        <w:left w:val="none" w:sz="0" w:space="0" w:color="auto"/>
        <w:bottom w:val="none" w:sz="0" w:space="0" w:color="auto"/>
        <w:right w:val="none" w:sz="0" w:space="0" w:color="auto"/>
      </w:divBdr>
    </w:div>
    <w:div w:id="1611472365">
      <w:bodyDiv w:val="1"/>
      <w:marLeft w:val="0"/>
      <w:marRight w:val="0"/>
      <w:marTop w:val="0"/>
      <w:marBottom w:val="0"/>
      <w:divBdr>
        <w:top w:val="none" w:sz="0" w:space="0" w:color="auto"/>
        <w:left w:val="none" w:sz="0" w:space="0" w:color="auto"/>
        <w:bottom w:val="none" w:sz="0" w:space="0" w:color="auto"/>
        <w:right w:val="none" w:sz="0" w:space="0" w:color="auto"/>
      </w:divBdr>
    </w:div>
    <w:div w:id="17901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A0242-4F79-47BC-9E83-87406665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8</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Melqonyan</dc:creator>
  <cp:keywords/>
  <dc:description/>
  <cp:lastModifiedBy>Tigran Melkonyan</cp:lastModifiedBy>
  <cp:revision>11</cp:revision>
  <cp:lastPrinted>2017-09-05T06:22:00Z</cp:lastPrinted>
  <dcterms:created xsi:type="dcterms:W3CDTF">2019-01-17T13:32:00Z</dcterms:created>
  <dcterms:modified xsi:type="dcterms:W3CDTF">2019-01-29T05:54:00Z</dcterms:modified>
</cp:coreProperties>
</file>