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BF" w:rsidRPr="006336C5" w:rsidRDefault="000007BF" w:rsidP="006336C5">
      <w:pPr>
        <w:spacing w:after="0" w:line="360" w:lineRule="auto"/>
        <w:ind w:right="149"/>
        <w:jc w:val="center"/>
        <w:rPr>
          <w:rFonts w:ascii="GHEA Grapalat" w:hAnsi="GHEA Grapalat"/>
          <w:b/>
          <w:sz w:val="24"/>
          <w:szCs w:val="24"/>
          <w:lang w:val="hy-AM"/>
        </w:rPr>
      </w:pPr>
      <w:bookmarkStart w:id="0" w:name="_GoBack"/>
      <w:r w:rsidRPr="006336C5">
        <w:rPr>
          <w:rFonts w:ascii="GHEA Grapalat" w:hAnsi="GHEA Grapalat"/>
          <w:b/>
          <w:sz w:val="24"/>
          <w:szCs w:val="24"/>
          <w:lang w:val="hy-AM"/>
        </w:rPr>
        <w:t>ՖԻԶԻԿԱԿԱՆ ԱՆՁԱՆՑԻՑ ԱՆՁՆԱԿԱՆ ՕԳՏԱԳՈՐԾՄԱՆ ԳՈՒՅՔՆ ՕՏԱՐԵԼՈՒ ԴԵՊՔՈՒՄ ԵԿԱՄՏԱՀԱՐԿԻ ԳԱՆՁՈՒՄԸ</w:t>
      </w:r>
    </w:p>
    <w:bookmarkEnd w:id="0"/>
    <w:p w:rsidR="000007BF" w:rsidRPr="006C762B" w:rsidRDefault="000007BF" w:rsidP="000007BF">
      <w:pPr>
        <w:pStyle w:val="ListParagraph"/>
        <w:spacing w:after="0" w:line="360" w:lineRule="auto"/>
        <w:ind w:left="360" w:right="149"/>
        <w:jc w:val="both"/>
        <w:rPr>
          <w:rFonts w:ascii="GHEA Grapalat" w:hAnsi="GHEA Grapalat"/>
          <w:b/>
          <w:i/>
          <w:sz w:val="24"/>
          <w:szCs w:val="24"/>
          <w:lang w:val="hy-AM"/>
        </w:rPr>
      </w:pPr>
    </w:p>
    <w:p w:rsidR="000007BF" w:rsidRPr="00A22C93" w:rsidRDefault="000007BF" w:rsidP="000007BF">
      <w:pPr>
        <w:spacing w:after="0" w:line="360" w:lineRule="auto"/>
        <w:ind w:left="-360" w:right="149" w:firstLine="720"/>
        <w:jc w:val="both"/>
        <w:rPr>
          <w:rFonts w:ascii="GHEA Grapalat" w:hAnsi="GHEA Grapalat"/>
          <w:sz w:val="24"/>
          <w:szCs w:val="24"/>
          <w:lang w:val="hy-AM"/>
        </w:rPr>
      </w:pPr>
      <w:r w:rsidRPr="00A22C93">
        <w:rPr>
          <w:rFonts w:ascii="GHEA Grapalat" w:hAnsi="GHEA Grapalat"/>
          <w:sz w:val="24"/>
          <w:szCs w:val="24"/>
          <w:lang w:val="hy-AM"/>
        </w:rPr>
        <w:t>2018 թվականի ընթացքում Մարդու իրավունքների պաշպանին բողոքներ են հասցեագրվել ֆիզիկական անձանցից իրենց անձնական օգտագործման գույքն օտարելու դեպքում եկամտային հարկի վճարման պահանջներ ներկայացնելու վերաբերյալ։</w:t>
      </w:r>
    </w:p>
    <w:p w:rsidR="000007BF" w:rsidRDefault="000007BF" w:rsidP="000007BF">
      <w:pPr>
        <w:spacing w:after="0" w:line="360" w:lineRule="auto"/>
        <w:ind w:left="-360" w:right="149" w:firstLine="720"/>
        <w:jc w:val="both"/>
        <w:rPr>
          <w:rFonts w:ascii="GHEA Grapalat" w:hAnsi="GHEA Grapalat"/>
          <w:sz w:val="24"/>
          <w:szCs w:val="24"/>
          <w:lang w:val="hy-AM"/>
        </w:rPr>
      </w:pPr>
      <w:r w:rsidRPr="00A22C93">
        <w:rPr>
          <w:rFonts w:ascii="GHEA Grapalat" w:hAnsi="GHEA Grapalat"/>
          <w:sz w:val="24"/>
          <w:szCs w:val="24"/>
          <w:lang w:val="hy-AM"/>
        </w:rPr>
        <w:t>Ըստ բողոքի՝ մարդն անձնական կարիքներից ելնելով հարկային տարվա ընթացքում ձեռք է բերել և օտարել երկու բնակարան, որից հետո ՀՀ ԿԵ պետական եկամուտների կոմիտեից ստացել է եկամտային հարկի պարտավորությունների</w:t>
      </w:r>
      <w:r>
        <w:rPr>
          <w:rFonts w:ascii="GHEA Grapalat" w:hAnsi="GHEA Grapalat"/>
          <w:sz w:val="24"/>
          <w:szCs w:val="24"/>
          <w:lang w:val="hy-AM"/>
        </w:rPr>
        <w:t xml:space="preserve"> վճարման մասին ծանուցում։</w:t>
      </w:r>
    </w:p>
    <w:p w:rsidR="000007BF" w:rsidRDefault="000007BF" w:rsidP="000007BF">
      <w:pPr>
        <w:spacing w:after="0" w:line="360" w:lineRule="auto"/>
        <w:ind w:left="-360" w:right="149" w:firstLine="720"/>
        <w:jc w:val="both"/>
        <w:rPr>
          <w:rFonts w:ascii="GHEA Grapalat" w:hAnsi="GHEA Grapalat"/>
          <w:sz w:val="24"/>
          <w:szCs w:val="24"/>
          <w:lang w:val="hy-AM"/>
        </w:rPr>
      </w:pPr>
      <w:r>
        <w:rPr>
          <w:rFonts w:ascii="GHEA Grapalat" w:hAnsi="GHEA Grapalat"/>
          <w:sz w:val="24"/>
          <w:szCs w:val="24"/>
          <w:lang w:val="hy-AM"/>
        </w:rPr>
        <w:t xml:space="preserve">Մեկ այլ բողոքի համաձայն՝ մարդն օտարել է </w:t>
      </w:r>
      <w:r w:rsidRPr="00BF4B0A">
        <w:rPr>
          <w:rFonts w:ascii="GHEA Grapalat" w:hAnsi="GHEA Grapalat"/>
          <w:sz w:val="24"/>
          <w:szCs w:val="24"/>
          <w:lang w:val="hy-AM"/>
        </w:rPr>
        <w:t>հասարակական նշանակության տարածք</w:t>
      </w:r>
      <w:r>
        <w:rPr>
          <w:rFonts w:ascii="GHEA Grapalat" w:hAnsi="GHEA Grapalat"/>
          <w:sz w:val="24"/>
          <w:szCs w:val="24"/>
          <w:lang w:val="hy-AM"/>
        </w:rPr>
        <w:t xml:space="preserve"> և ՀՀ ԿԵ պետական եկամուտների կոմիտեից ստացել է եկամտային հարկի պարտավորությունների վճարման մասին ծանուցում։</w:t>
      </w:r>
    </w:p>
    <w:p w:rsidR="000007BF" w:rsidRPr="009F2CFB" w:rsidRDefault="000007BF" w:rsidP="000007BF">
      <w:pPr>
        <w:spacing w:after="0" w:line="360" w:lineRule="auto"/>
        <w:ind w:left="-360" w:right="149" w:firstLine="720"/>
        <w:jc w:val="both"/>
        <w:rPr>
          <w:rFonts w:ascii="GHEA Grapalat" w:hAnsi="GHEA Grapalat"/>
          <w:sz w:val="24"/>
          <w:szCs w:val="24"/>
          <w:lang w:val="hy-AM"/>
        </w:rPr>
      </w:pPr>
      <w:r w:rsidRPr="009F2CFB">
        <w:rPr>
          <w:rFonts w:ascii="GHEA Grapalat" w:hAnsi="GHEA Grapalat"/>
          <w:sz w:val="24"/>
          <w:szCs w:val="24"/>
          <w:lang w:val="hy-AM"/>
        </w:rPr>
        <w:t>ՀՀ հարկային օրենսգրքի 147-րդ հոդվածի 1-ին մասի 16-րդ կետի «ա» ենթակետի համաձայն՝ ձեռնարկատիրական գործունեության առարկա համարվող գույքի օտարում է համարվում անձնական, ընտանեկան կամ տնային օգտագործման (բնակարան, առանձնատուն (այդ թվում` անավարտ (կիսակառույց), գյուղատնտեսական նշանակության և բնակավայրերի հող, ավտոտնակ, ավտոմեքենա) նույն տեսակի գույքի՝ տարվա ընթացքում երկրորդ և ավելի թվով օտարումը, եթե դրանց և´ ձեռքբերումը, և´ օտարումը տեղի է ունեցել մեկ տարվա ընթացքում:</w:t>
      </w:r>
    </w:p>
    <w:p w:rsidR="000007BF" w:rsidRDefault="000007BF" w:rsidP="000007BF">
      <w:pPr>
        <w:spacing w:after="0" w:line="360" w:lineRule="auto"/>
        <w:ind w:left="-360" w:right="149" w:firstLine="720"/>
        <w:jc w:val="both"/>
        <w:rPr>
          <w:rFonts w:ascii="GHEA Grapalat" w:hAnsi="GHEA Grapalat"/>
          <w:sz w:val="24"/>
          <w:szCs w:val="24"/>
          <w:lang w:val="hy-AM"/>
        </w:rPr>
      </w:pPr>
      <w:r>
        <w:rPr>
          <w:rFonts w:ascii="GHEA Grapalat" w:hAnsi="GHEA Grapalat"/>
          <w:sz w:val="24"/>
          <w:szCs w:val="24"/>
          <w:lang w:val="hy-AM"/>
        </w:rPr>
        <w:t xml:space="preserve">Բացի այդ, </w:t>
      </w:r>
      <w:r w:rsidRPr="009F2CFB">
        <w:rPr>
          <w:rFonts w:ascii="GHEA Grapalat" w:hAnsi="GHEA Grapalat"/>
          <w:sz w:val="24"/>
          <w:szCs w:val="24"/>
          <w:lang w:val="hy-AM"/>
        </w:rPr>
        <w:t>ՀՀ հարկային օրենսգրքի 147-րդ հոդվածի 1-ին մասի 16-րդ կետի</w:t>
      </w:r>
      <w:r>
        <w:rPr>
          <w:rFonts w:ascii="GHEA Grapalat" w:hAnsi="GHEA Grapalat"/>
          <w:sz w:val="24"/>
          <w:szCs w:val="24"/>
          <w:lang w:val="hy-AM"/>
        </w:rPr>
        <w:t xml:space="preserve"> </w:t>
      </w:r>
      <w:r w:rsidRPr="009F2CFB">
        <w:rPr>
          <w:rFonts w:ascii="GHEA Grapalat" w:hAnsi="GHEA Grapalat"/>
          <w:sz w:val="24"/>
          <w:szCs w:val="24"/>
          <w:lang w:val="hy-AM"/>
        </w:rPr>
        <w:t>«</w:t>
      </w:r>
      <w:r>
        <w:rPr>
          <w:rFonts w:ascii="GHEA Grapalat" w:hAnsi="GHEA Grapalat"/>
          <w:sz w:val="24"/>
          <w:szCs w:val="24"/>
          <w:lang w:val="hy-AM"/>
        </w:rPr>
        <w:t>բ</w:t>
      </w:r>
      <w:r w:rsidRPr="009F2CFB">
        <w:rPr>
          <w:rFonts w:ascii="GHEA Grapalat" w:hAnsi="GHEA Grapalat"/>
          <w:sz w:val="24"/>
          <w:szCs w:val="24"/>
          <w:lang w:val="hy-AM"/>
        </w:rPr>
        <w:t>» ենթակետի</w:t>
      </w:r>
      <w:r>
        <w:rPr>
          <w:rFonts w:ascii="GHEA Grapalat" w:hAnsi="GHEA Grapalat"/>
          <w:sz w:val="24"/>
          <w:szCs w:val="24"/>
          <w:lang w:val="hy-AM"/>
        </w:rPr>
        <w:t xml:space="preserve"> համաձայն,</w:t>
      </w:r>
      <w:r w:rsidRPr="006026F2">
        <w:rPr>
          <w:rFonts w:ascii="GHEA Grapalat" w:hAnsi="GHEA Grapalat"/>
          <w:sz w:val="24"/>
          <w:szCs w:val="24"/>
          <w:lang w:val="hy-AM"/>
        </w:rPr>
        <w:t xml:space="preserve"> </w:t>
      </w:r>
      <w:r w:rsidRPr="00DC7C35">
        <w:rPr>
          <w:rFonts w:ascii="GHEA Grapalat" w:hAnsi="GHEA Grapalat"/>
          <w:sz w:val="24"/>
          <w:szCs w:val="24"/>
          <w:lang w:val="hy-AM"/>
        </w:rPr>
        <w:t>ձեռնարկատիրական գործունեության առարկա համարվող գույքի օտարում է համարվում արտադրական, այլ առևտրային և հասարակական նշանակության գույքի, ներառյալ` շենքերի, շինությունների (այդ թվում` անավարտ (կիսակառույց), արդյունաբերության, ընդերքօգտագործման և այլ արտադրական նշանակության հողերի կամ գույքի սեփականությունում անձին պատկանող բաժնեմասի օտարումը։</w:t>
      </w:r>
    </w:p>
    <w:p w:rsidR="000007BF" w:rsidRPr="00DA77B8" w:rsidRDefault="000007BF" w:rsidP="000007BF">
      <w:pPr>
        <w:spacing w:after="0" w:line="360" w:lineRule="auto"/>
        <w:ind w:left="-360" w:right="149" w:firstLine="720"/>
        <w:jc w:val="both"/>
        <w:rPr>
          <w:rFonts w:ascii="GHEA Grapalat" w:hAnsi="GHEA Grapalat"/>
          <w:sz w:val="24"/>
          <w:szCs w:val="24"/>
          <w:lang w:val="hy-AM"/>
        </w:rPr>
      </w:pPr>
      <w:r>
        <w:rPr>
          <w:rFonts w:ascii="GHEA Grapalat" w:hAnsi="GHEA Grapalat"/>
          <w:sz w:val="24"/>
          <w:szCs w:val="24"/>
          <w:lang w:val="hy-AM"/>
        </w:rPr>
        <w:lastRenderedPageBreak/>
        <w:t xml:space="preserve">Անհրաժեշտ է նշել, որ ՀՀ հարկային օրենսգիրքը նշյալ դրույթը պահպանել է </w:t>
      </w:r>
      <w:r w:rsidRPr="00DA77B8">
        <w:rPr>
          <w:rFonts w:ascii="GHEA Grapalat" w:hAnsi="GHEA Grapalat"/>
          <w:sz w:val="24"/>
          <w:szCs w:val="24"/>
          <w:lang w:val="hy-AM"/>
        </w:rPr>
        <w:t>«Ավելացված</w:t>
      </w:r>
      <w:r>
        <w:rPr>
          <w:rFonts w:ascii="Calibri" w:hAnsi="Calibri" w:cs="Calibri"/>
          <w:sz w:val="24"/>
          <w:szCs w:val="24"/>
          <w:lang w:val="hy-AM"/>
        </w:rPr>
        <w:t xml:space="preserve"> </w:t>
      </w:r>
      <w:r w:rsidRPr="00DA77B8">
        <w:rPr>
          <w:rFonts w:ascii="GHEA Grapalat" w:hAnsi="GHEA Grapalat"/>
          <w:sz w:val="24"/>
          <w:szCs w:val="24"/>
          <w:lang w:val="hy-AM"/>
        </w:rPr>
        <w:t>արժեքի</w:t>
      </w:r>
      <w:r>
        <w:rPr>
          <w:rFonts w:ascii="GHEA Grapalat" w:hAnsi="GHEA Grapalat"/>
          <w:sz w:val="24"/>
          <w:szCs w:val="24"/>
          <w:lang w:val="hy-AM"/>
        </w:rPr>
        <w:t xml:space="preserve"> </w:t>
      </w:r>
      <w:r w:rsidRPr="00DA77B8">
        <w:rPr>
          <w:rFonts w:ascii="GHEA Grapalat" w:hAnsi="GHEA Grapalat"/>
          <w:sz w:val="24"/>
          <w:szCs w:val="24"/>
          <w:lang w:val="hy-AM"/>
        </w:rPr>
        <w:t>հարկի</w:t>
      </w:r>
      <w:r>
        <w:rPr>
          <w:rFonts w:ascii="GHEA Grapalat" w:hAnsi="GHEA Grapalat"/>
          <w:sz w:val="24"/>
          <w:szCs w:val="24"/>
          <w:lang w:val="hy-AM"/>
        </w:rPr>
        <w:t xml:space="preserve"> </w:t>
      </w:r>
      <w:r w:rsidRPr="00DA77B8">
        <w:rPr>
          <w:rFonts w:ascii="GHEA Grapalat" w:hAnsi="GHEA Grapalat"/>
          <w:sz w:val="24"/>
          <w:szCs w:val="24"/>
          <w:lang w:val="hy-AM"/>
        </w:rPr>
        <w:t>մասին»</w:t>
      </w:r>
      <w:r>
        <w:rPr>
          <w:rFonts w:ascii="GHEA Grapalat" w:hAnsi="GHEA Grapalat"/>
          <w:sz w:val="24"/>
          <w:szCs w:val="24"/>
          <w:lang w:val="hy-AM"/>
        </w:rPr>
        <w:t xml:space="preserve"> </w:t>
      </w:r>
      <w:r w:rsidRPr="00DA77B8">
        <w:rPr>
          <w:rFonts w:ascii="GHEA Grapalat" w:hAnsi="GHEA Grapalat"/>
          <w:sz w:val="24"/>
          <w:szCs w:val="24"/>
          <w:lang w:val="hy-AM"/>
        </w:rPr>
        <w:t>ՀՀ</w:t>
      </w:r>
      <w:r>
        <w:rPr>
          <w:rFonts w:ascii="GHEA Grapalat" w:hAnsi="GHEA Grapalat"/>
          <w:sz w:val="24"/>
          <w:szCs w:val="24"/>
          <w:lang w:val="hy-AM"/>
        </w:rPr>
        <w:t xml:space="preserve"> </w:t>
      </w:r>
      <w:r w:rsidRPr="00DA77B8">
        <w:rPr>
          <w:rFonts w:ascii="GHEA Grapalat" w:hAnsi="GHEA Grapalat"/>
          <w:sz w:val="24"/>
          <w:szCs w:val="24"/>
          <w:lang w:val="hy-AM"/>
        </w:rPr>
        <w:t>օրենք</w:t>
      </w:r>
      <w:r>
        <w:rPr>
          <w:rFonts w:ascii="GHEA Grapalat" w:hAnsi="GHEA Grapalat"/>
          <w:sz w:val="24"/>
          <w:szCs w:val="24"/>
          <w:lang w:val="hy-AM"/>
        </w:rPr>
        <w:t>ի՝ ուժը կորցնելուց հետո։</w:t>
      </w:r>
    </w:p>
    <w:p w:rsidR="000007BF"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t>Վերոնշյալ կարգավորմամբ օրենսդիր</w:t>
      </w:r>
      <w:r>
        <w:rPr>
          <w:rFonts w:ascii="GHEA Grapalat" w:hAnsi="GHEA Grapalat"/>
          <w:sz w:val="24"/>
          <w:szCs w:val="24"/>
          <w:lang w:val="hy-AM"/>
        </w:rPr>
        <w:t>ը</w:t>
      </w:r>
      <w:r w:rsidRPr="006026F2">
        <w:rPr>
          <w:rFonts w:ascii="GHEA Grapalat" w:hAnsi="GHEA Grapalat"/>
          <w:sz w:val="24"/>
          <w:szCs w:val="24"/>
          <w:lang w:val="hy-AM"/>
        </w:rPr>
        <w:t xml:space="preserve"> նպատակ </w:t>
      </w:r>
      <w:r>
        <w:rPr>
          <w:rFonts w:ascii="GHEA Grapalat" w:hAnsi="GHEA Grapalat"/>
          <w:sz w:val="24"/>
          <w:szCs w:val="24"/>
          <w:lang w:val="hy-AM"/>
        </w:rPr>
        <w:t xml:space="preserve">է </w:t>
      </w:r>
      <w:r w:rsidRPr="006026F2">
        <w:rPr>
          <w:rFonts w:ascii="GHEA Grapalat" w:hAnsi="GHEA Grapalat"/>
          <w:sz w:val="24"/>
          <w:szCs w:val="24"/>
          <w:lang w:val="hy-AM"/>
        </w:rPr>
        <w:t xml:space="preserve">հետապնդել հարկային պարտավորություն սահմանել այն անձանց համար, ովքեր, փաստացի զբաղվելով </w:t>
      </w:r>
      <w:r>
        <w:rPr>
          <w:rFonts w:ascii="GHEA Grapalat" w:hAnsi="GHEA Grapalat"/>
          <w:sz w:val="24"/>
          <w:szCs w:val="24"/>
          <w:lang w:val="hy-AM"/>
        </w:rPr>
        <w:t>ձեռնարկատիրական</w:t>
      </w:r>
      <w:r w:rsidRPr="006026F2">
        <w:rPr>
          <w:rFonts w:ascii="GHEA Grapalat" w:hAnsi="GHEA Grapalat"/>
          <w:sz w:val="24"/>
          <w:szCs w:val="24"/>
          <w:lang w:val="hy-AM"/>
        </w:rPr>
        <w:t xml:space="preserve"> գործունեությամբ, հարկ վճարելու պարտականություն օրենքով չեն ունեցել</w:t>
      </w:r>
      <w:r>
        <w:rPr>
          <w:rStyle w:val="FootnoteReference"/>
          <w:rFonts w:ascii="GHEA Grapalat" w:hAnsi="GHEA Grapalat"/>
          <w:sz w:val="24"/>
          <w:szCs w:val="24"/>
          <w:lang w:val="hy-AM"/>
        </w:rPr>
        <w:footnoteReference w:id="1"/>
      </w:r>
      <w:r w:rsidRPr="006026F2">
        <w:rPr>
          <w:rFonts w:ascii="GHEA Grapalat" w:hAnsi="GHEA Grapalat"/>
          <w:sz w:val="24"/>
          <w:szCs w:val="24"/>
          <w:lang w:val="hy-AM"/>
        </w:rPr>
        <w:t xml:space="preserve">: </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t>Նշ</w:t>
      </w:r>
      <w:r>
        <w:rPr>
          <w:rFonts w:ascii="GHEA Grapalat" w:hAnsi="GHEA Grapalat"/>
          <w:sz w:val="24"/>
          <w:szCs w:val="24"/>
          <w:lang w:val="hy-AM"/>
        </w:rPr>
        <w:t>վածի</w:t>
      </w:r>
      <w:r w:rsidRPr="006026F2">
        <w:rPr>
          <w:rFonts w:ascii="GHEA Grapalat" w:hAnsi="GHEA Grapalat"/>
          <w:sz w:val="24"/>
          <w:szCs w:val="24"/>
          <w:lang w:val="hy-AM"/>
        </w:rPr>
        <w:t xml:space="preserve"> համատեքստում </w:t>
      </w:r>
      <w:r>
        <w:rPr>
          <w:rFonts w:ascii="GHEA Grapalat" w:hAnsi="GHEA Grapalat"/>
          <w:sz w:val="24"/>
          <w:szCs w:val="24"/>
          <w:lang w:val="hy-AM"/>
        </w:rPr>
        <w:t>կարևոր է</w:t>
      </w:r>
      <w:r w:rsidRPr="006026F2">
        <w:rPr>
          <w:rFonts w:ascii="GHEA Grapalat" w:hAnsi="GHEA Grapalat"/>
          <w:sz w:val="24"/>
          <w:szCs w:val="24"/>
          <w:lang w:val="hy-AM"/>
        </w:rPr>
        <w:t xml:space="preserve"> </w:t>
      </w:r>
      <w:r w:rsidRPr="006026F2">
        <w:rPr>
          <w:rFonts w:ascii="GHEA Grapalat" w:hAnsi="GHEA Grapalat" w:cs="Sylfaen"/>
          <w:sz w:val="24"/>
          <w:szCs w:val="24"/>
          <w:lang w:val="hy-AM"/>
        </w:rPr>
        <w:t>«</w:t>
      </w:r>
      <w:r w:rsidRPr="006026F2">
        <w:rPr>
          <w:rFonts w:ascii="GHEA Grapalat" w:hAnsi="GHEA Grapalat"/>
          <w:sz w:val="24"/>
          <w:szCs w:val="24"/>
          <w:lang w:val="hy-AM"/>
        </w:rPr>
        <w:t>ձեռնարկատիրական գործունեություն</w:t>
      </w:r>
      <w:r w:rsidRPr="006026F2">
        <w:rPr>
          <w:rFonts w:ascii="GHEA Grapalat" w:hAnsi="GHEA Grapalat" w:cs="Sylfaen"/>
          <w:sz w:val="24"/>
          <w:szCs w:val="24"/>
          <w:lang w:val="hy-AM"/>
        </w:rPr>
        <w:t>»</w:t>
      </w:r>
      <w:r w:rsidRPr="006026F2">
        <w:rPr>
          <w:rFonts w:ascii="GHEA Grapalat" w:hAnsi="GHEA Grapalat"/>
          <w:sz w:val="24"/>
          <w:szCs w:val="24"/>
          <w:lang w:val="hy-AM"/>
        </w:rPr>
        <w:t xml:space="preserve"> հասկացության բացահայտումը։</w:t>
      </w:r>
    </w:p>
    <w:p w:rsidR="000007BF"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t xml:space="preserve">Ֆիզիկական անձի կողմից իրականացվող գործունեության բնույթը (այդ թվում նաև՝ ձեռնարկատիրական լինելը) որոշելիս գնահատման առարկա դարձվելիք պարտադիր հատկանիշներին անդրադարձ է կատարել ՀՀ վճռաբեկ դատարանը </w:t>
      </w:r>
      <w:r>
        <w:rPr>
          <w:rFonts w:ascii="GHEA Grapalat" w:hAnsi="GHEA Grapalat"/>
          <w:sz w:val="24"/>
          <w:szCs w:val="24"/>
          <w:lang w:val="hy-AM"/>
        </w:rPr>
        <w:t xml:space="preserve">2008 թվականի դեկտեմբերի 26-ի թիվ </w:t>
      </w:r>
      <w:r w:rsidRPr="006026F2">
        <w:rPr>
          <w:rFonts w:ascii="GHEA Grapalat" w:hAnsi="GHEA Grapalat"/>
          <w:sz w:val="24"/>
          <w:szCs w:val="24"/>
          <w:lang w:val="hy-AM"/>
        </w:rPr>
        <w:t>ՎԴ3/0169/05/08</w:t>
      </w:r>
      <w:r>
        <w:rPr>
          <w:rFonts w:ascii="GHEA Grapalat" w:hAnsi="GHEA Grapalat"/>
          <w:sz w:val="24"/>
          <w:szCs w:val="24"/>
          <w:lang w:val="hy-AM"/>
        </w:rPr>
        <w:t xml:space="preserve"> վարչական գործով կայացված որոշմամբ։</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Pr>
          <w:rFonts w:ascii="GHEA Grapalat" w:hAnsi="GHEA Grapalat"/>
          <w:sz w:val="24"/>
          <w:szCs w:val="24"/>
          <w:lang w:val="hy-AM"/>
        </w:rPr>
        <w:t xml:space="preserve">Մասնավորապես, նշյալ որոշմամբ Վճռաբեկ դատարանն </w:t>
      </w:r>
      <w:r w:rsidRPr="006026F2">
        <w:rPr>
          <w:rFonts w:ascii="GHEA Grapalat" w:hAnsi="GHEA Grapalat"/>
          <w:sz w:val="24"/>
          <w:szCs w:val="24"/>
          <w:lang w:val="hy-AM"/>
        </w:rPr>
        <w:t>արձանագրել</w:t>
      </w:r>
      <w:r>
        <w:rPr>
          <w:rFonts w:ascii="GHEA Grapalat" w:hAnsi="GHEA Grapalat"/>
          <w:sz w:val="24"/>
          <w:szCs w:val="24"/>
          <w:lang w:val="hy-AM"/>
        </w:rPr>
        <w:t xml:space="preserve"> է</w:t>
      </w:r>
      <w:r w:rsidRPr="006026F2">
        <w:rPr>
          <w:rFonts w:ascii="GHEA Grapalat" w:hAnsi="GHEA Grapalat"/>
          <w:sz w:val="24"/>
          <w:szCs w:val="24"/>
          <w:lang w:val="hy-AM"/>
        </w:rPr>
        <w:t>, որ անհրաժեշտ է հաշվի առնել</w:t>
      </w:r>
      <w:r>
        <w:rPr>
          <w:rFonts w:ascii="GHEA Grapalat" w:hAnsi="GHEA Grapalat"/>
          <w:sz w:val="24"/>
          <w:szCs w:val="24"/>
          <w:lang w:val="hy-AM"/>
        </w:rPr>
        <w:t>, թե</w:t>
      </w:r>
      <w:r w:rsidRPr="006026F2">
        <w:rPr>
          <w:rFonts w:ascii="GHEA Grapalat" w:hAnsi="GHEA Grapalat"/>
          <w:sz w:val="24"/>
          <w:szCs w:val="24"/>
          <w:lang w:val="hy-AM"/>
        </w:rPr>
        <w:t xml:space="preserve"> արդյոք գործունեությունն իրականացվել է անձի նախաձեռնությամբ և կամքով,</w:t>
      </w:r>
      <w:r>
        <w:rPr>
          <w:rFonts w:ascii="GHEA Grapalat" w:hAnsi="GHEA Grapalat"/>
          <w:sz w:val="24"/>
          <w:szCs w:val="24"/>
          <w:lang w:val="hy-AM"/>
        </w:rPr>
        <w:t xml:space="preserve"> </w:t>
      </w:r>
      <w:r w:rsidRPr="006026F2">
        <w:rPr>
          <w:rFonts w:ascii="GHEA Grapalat" w:hAnsi="GHEA Grapalat"/>
          <w:sz w:val="24"/>
          <w:szCs w:val="24"/>
          <w:lang w:val="hy-AM"/>
        </w:rPr>
        <w:t>արդյոք գործունեությունը կրում է պարբերական բնույթ</w:t>
      </w:r>
      <w:r>
        <w:rPr>
          <w:rFonts w:ascii="GHEA Grapalat" w:hAnsi="GHEA Grapalat"/>
          <w:sz w:val="24"/>
          <w:szCs w:val="24"/>
          <w:lang w:val="hy-AM"/>
        </w:rPr>
        <w:t xml:space="preserve">, </w:t>
      </w:r>
      <w:r w:rsidRPr="006026F2">
        <w:rPr>
          <w:rFonts w:ascii="GHEA Grapalat" w:hAnsi="GHEA Grapalat"/>
          <w:sz w:val="24"/>
          <w:szCs w:val="24"/>
          <w:lang w:val="hy-AM"/>
        </w:rPr>
        <w:t>արդյոք գործունեությունն ի սկզբանե իրականացվել է հատկապես շահույթ (եկամուտ) ստանալու նպատակով,</w:t>
      </w:r>
      <w:r>
        <w:rPr>
          <w:rFonts w:ascii="GHEA Grapalat" w:hAnsi="GHEA Grapalat"/>
          <w:sz w:val="24"/>
          <w:szCs w:val="24"/>
          <w:lang w:val="hy-AM"/>
        </w:rPr>
        <w:t xml:space="preserve"> </w:t>
      </w:r>
      <w:r w:rsidRPr="006026F2">
        <w:rPr>
          <w:rFonts w:ascii="GHEA Grapalat" w:hAnsi="GHEA Grapalat"/>
          <w:sz w:val="24"/>
          <w:szCs w:val="24"/>
          <w:lang w:val="hy-AM"/>
        </w:rPr>
        <w:t>արդյոք գործունեությունն իրականացվում է որպես մասնագիտություն (արհեստ), որի արտաքին դրսևորումներից կարելի համարել առևտրի իրականացման կամ ծառայությունների մատուցման հատուկ տարածքի (խանութ, սրահ, արհեստանոց, այլ արտադրական տարածք, հատուկ հարմարեցված տրանսպորտային միջոց), տեղեկատվական-գովազդային բնույթի միջոցառումների, ապրանքի մեծ քանակության և տեսականու առկայությունը,</w:t>
      </w:r>
      <w:r>
        <w:rPr>
          <w:rFonts w:ascii="GHEA Grapalat" w:hAnsi="GHEA Grapalat"/>
          <w:sz w:val="24"/>
          <w:szCs w:val="24"/>
          <w:lang w:val="hy-AM"/>
        </w:rPr>
        <w:t xml:space="preserve"> </w:t>
      </w:r>
      <w:r w:rsidRPr="006026F2">
        <w:rPr>
          <w:rFonts w:ascii="GHEA Grapalat" w:hAnsi="GHEA Grapalat"/>
          <w:sz w:val="24"/>
          <w:szCs w:val="24"/>
          <w:lang w:val="hy-AM"/>
        </w:rPr>
        <w:t>արդյոք քաղաքացու տնտեսական գործունեությունը (քաղաքացիաիրավական գործարքը) վերաբերում է նրա անձնական գույքին</w:t>
      </w:r>
      <w:r>
        <w:rPr>
          <w:rFonts w:ascii="GHEA Grapalat" w:hAnsi="GHEA Grapalat"/>
          <w:sz w:val="24"/>
          <w:szCs w:val="24"/>
          <w:lang w:val="hy-AM"/>
        </w:rPr>
        <w:t xml:space="preserve"> և </w:t>
      </w:r>
      <w:r w:rsidRPr="006026F2">
        <w:rPr>
          <w:rFonts w:ascii="GHEA Grapalat" w:hAnsi="GHEA Grapalat"/>
          <w:sz w:val="24"/>
          <w:szCs w:val="24"/>
          <w:lang w:val="hy-AM"/>
        </w:rPr>
        <w:t>այլ առանձնահատուկ հատկանիշներ:</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Pr>
          <w:rFonts w:ascii="GHEA Grapalat" w:hAnsi="GHEA Grapalat"/>
          <w:sz w:val="24"/>
          <w:szCs w:val="24"/>
          <w:lang w:val="hy-AM"/>
        </w:rPr>
        <w:t>Վ</w:t>
      </w:r>
      <w:r w:rsidRPr="006026F2">
        <w:rPr>
          <w:rFonts w:ascii="GHEA Grapalat" w:hAnsi="GHEA Grapalat"/>
          <w:sz w:val="24"/>
          <w:szCs w:val="24"/>
          <w:lang w:val="hy-AM"/>
        </w:rPr>
        <w:t xml:space="preserve">ճռաբեկ դատարանը </w:t>
      </w:r>
      <w:r>
        <w:rPr>
          <w:rFonts w:ascii="GHEA Grapalat" w:hAnsi="GHEA Grapalat"/>
          <w:sz w:val="24"/>
          <w:szCs w:val="24"/>
          <w:lang w:val="hy-AM"/>
        </w:rPr>
        <w:t xml:space="preserve">վերոնշյալ դիրքորոշումն արձանագրել է նաև </w:t>
      </w:r>
      <w:r w:rsidRPr="006026F2">
        <w:rPr>
          <w:rFonts w:ascii="GHEA Grapalat" w:hAnsi="GHEA Grapalat"/>
          <w:sz w:val="24"/>
          <w:szCs w:val="24"/>
          <w:lang w:val="hy-AM"/>
        </w:rPr>
        <w:t xml:space="preserve">թիվ 3-1161 (ՏԴ) քաղաքացիական գործով 2007 թվականի օգոստոսի 1-ին </w:t>
      </w:r>
      <w:r>
        <w:rPr>
          <w:rFonts w:ascii="GHEA Grapalat" w:hAnsi="GHEA Grapalat"/>
          <w:sz w:val="24"/>
          <w:szCs w:val="24"/>
          <w:lang w:val="hy-AM"/>
        </w:rPr>
        <w:t>կայացրած</w:t>
      </w:r>
      <w:r w:rsidRPr="006026F2">
        <w:rPr>
          <w:rFonts w:ascii="GHEA Grapalat" w:hAnsi="GHEA Grapalat"/>
          <w:sz w:val="24"/>
          <w:szCs w:val="24"/>
          <w:lang w:val="hy-AM"/>
        </w:rPr>
        <w:t xml:space="preserve"> որոշմա</w:t>
      </w:r>
      <w:r>
        <w:rPr>
          <w:rFonts w:ascii="GHEA Grapalat" w:hAnsi="GHEA Grapalat"/>
          <w:sz w:val="24"/>
          <w:szCs w:val="24"/>
          <w:lang w:val="hy-AM"/>
        </w:rPr>
        <w:t xml:space="preserve">մբ: </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lastRenderedPageBreak/>
        <w:t>ՀՀ հարկային օրենսգրք</w:t>
      </w:r>
      <w:r>
        <w:rPr>
          <w:rFonts w:ascii="GHEA Grapalat" w:hAnsi="GHEA Grapalat"/>
          <w:sz w:val="24"/>
          <w:szCs w:val="24"/>
          <w:lang w:val="hy-AM"/>
        </w:rPr>
        <w:t>ի 147-րդ հոդվածի</w:t>
      </w:r>
      <w:r w:rsidRPr="006026F2">
        <w:rPr>
          <w:rFonts w:ascii="GHEA Grapalat" w:hAnsi="GHEA Grapalat"/>
          <w:sz w:val="24"/>
          <w:szCs w:val="24"/>
          <w:lang w:val="hy-AM"/>
        </w:rPr>
        <w:t xml:space="preserve"> 1-ին մասի 16-րդ կետի «ա»</w:t>
      </w:r>
      <w:r>
        <w:rPr>
          <w:rFonts w:ascii="GHEA Grapalat" w:hAnsi="GHEA Grapalat"/>
          <w:sz w:val="24"/>
          <w:szCs w:val="24"/>
          <w:lang w:val="hy-AM"/>
        </w:rPr>
        <w:t xml:space="preserve"> և </w:t>
      </w:r>
      <w:r w:rsidRPr="00991466">
        <w:rPr>
          <w:rFonts w:ascii="GHEA Grapalat" w:hAnsi="GHEA Grapalat"/>
          <w:sz w:val="24"/>
          <w:szCs w:val="24"/>
          <w:lang w:val="hy-AM"/>
        </w:rPr>
        <w:t>«բ»</w:t>
      </w:r>
      <w:r>
        <w:rPr>
          <w:rFonts w:ascii="GHEA Grapalat" w:hAnsi="GHEA Grapalat"/>
          <w:sz w:val="24"/>
          <w:szCs w:val="24"/>
          <w:lang w:val="hy-AM"/>
        </w:rPr>
        <w:t xml:space="preserve"> ենթակետերում </w:t>
      </w:r>
      <w:r w:rsidRPr="006026F2">
        <w:rPr>
          <w:rFonts w:ascii="GHEA Grapalat" w:hAnsi="GHEA Grapalat"/>
          <w:sz w:val="24"/>
          <w:szCs w:val="24"/>
          <w:lang w:val="hy-AM"/>
        </w:rPr>
        <w:t>համապատասխան դրույթների ամրագրումը նպատակ է հետապնդել պայքարել ապօրինի ձեռնարկատիրության դեմ</w:t>
      </w:r>
      <w:r>
        <w:rPr>
          <w:rFonts w:ascii="GHEA Grapalat" w:hAnsi="GHEA Grapalat"/>
          <w:sz w:val="24"/>
          <w:szCs w:val="24"/>
          <w:lang w:val="hy-AM"/>
        </w:rPr>
        <w:t>։</w:t>
      </w:r>
      <w:r w:rsidRPr="006026F2">
        <w:rPr>
          <w:rFonts w:ascii="GHEA Grapalat" w:hAnsi="GHEA Grapalat"/>
          <w:sz w:val="24"/>
          <w:szCs w:val="24"/>
          <w:lang w:val="hy-AM"/>
        </w:rPr>
        <w:t xml:space="preserve"> </w:t>
      </w:r>
      <w:r>
        <w:rPr>
          <w:rFonts w:ascii="GHEA Grapalat" w:hAnsi="GHEA Grapalat"/>
          <w:sz w:val="24"/>
          <w:szCs w:val="24"/>
          <w:lang w:val="hy-AM"/>
        </w:rPr>
        <w:t>Ս</w:t>
      </w:r>
      <w:r w:rsidRPr="006026F2">
        <w:rPr>
          <w:rFonts w:ascii="GHEA Grapalat" w:hAnsi="GHEA Grapalat"/>
          <w:sz w:val="24"/>
          <w:szCs w:val="24"/>
          <w:lang w:val="hy-AM"/>
        </w:rPr>
        <w:t>ակայն</w:t>
      </w:r>
      <w:r>
        <w:rPr>
          <w:rFonts w:ascii="GHEA Grapalat" w:hAnsi="GHEA Grapalat"/>
          <w:sz w:val="24"/>
          <w:szCs w:val="24"/>
          <w:lang w:val="hy-AM"/>
        </w:rPr>
        <w:t xml:space="preserve"> իրավակիրառ պրակտիկայում վտանգվում</w:t>
      </w:r>
      <w:r w:rsidRPr="006026F2">
        <w:rPr>
          <w:rFonts w:ascii="GHEA Grapalat" w:hAnsi="GHEA Grapalat"/>
          <w:sz w:val="24"/>
          <w:szCs w:val="24"/>
          <w:lang w:val="hy-AM"/>
        </w:rPr>
        <w:t xml:space="preserve"> է մարդու սեփականության, պատշաճ վարչարարության իրավունք</w:t>
      </w:r>
      <w:r>
        <w:rPr>
          <w:rFonts w:ascii="GHEA Grapalat" w:hAnsi="GHEA Grapalat"/>
          <w:sz w:val="24"/>
          <w:szCs w:val="24"/>
          <w:lang w:val="hy-AM"/>
        </w:rPr>
        <w:t>ները և</w:t>
      </w:r>
      <w:r w:rsidRPr="006026F2">
        <w:rPr>
          <w:rFonts w:ascii="GHEA Grapalat" w:hAnsi="GHEA Grapalat"/>
          <w:sz w:val="24"/>
          <w:szCs w:val="24"/>
          <w:lang w:val="hy-AM"/>
        </w:rPr>
        <w:t xml:space="preserve"> համաչափության սկզբունքը։</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Pr>
          <w:rFonts w:ascii="GHEA Grapalat" w:hAnsi="GHEA Grapalat"/>
          <w:sz w:val="24"/>
          <w:szCs w:val="24"/>
          <w:lang w:val="hy-AM"/>
        </w:rPr>
        <w:t xml:space="preserve">Այսպես, </w:t>
      </w:r>
      <w:r w:rsidRPr="006026F2">
        <w:rPr>
          <w:rFonts w:ascii="GHEA Grapalat" w:hAnsi="GHEA Grapalat"/>
          <w:sz w:val="24"/>
          <w:szCs w:val="24"/>
          <w:lang w:val="hy-AM"/>
        </w:rPr>
        <w:t>ՀՀ Սահմանադրության 60-րդ հոդվածի 1-ին, 3-րդ և 4-րդ մասերի համաձայն՝ յուրաքանչյուր ոք ունի օրինական հիմքով ձեռք բերած սեփականությունն իր հայեցողությամբ տիրապետելու, օգտագործելու և տնօրինելու իրավունք: Սեփականության իրավունքը կարող է սահմանափակվել միայն օրենքով` հանրության շահերի կամ այլոց հիմնական իրավունքների և ազատությունների պաշտպանության նպատակով: Ոչ ոք չի կարող զրկվել սեփականությունից, բացառությամբ դատական կարգով` օրենքով սահմանված դեպքերի:</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t>Սեփականության իրավունքի պաշտպանության հարցը, մասնավորապես պետության հարկային քաղաքականության շրջանակներում, քննարկման առարկա է դարձել</w:t>
      </w:r>
      <w:r>
        <w:rPr>
          <w:rFonts w:ascii="GHEA Grapalat" w:hAnsi="GHEA Grapalat"/>
          <w:sz w:val="24"/>
          <w:szCs w:val="24"/>
          <w:lang w:val="hy-AM"/>
        </w:rPr>
        <w:t xml:space="preserve"> նաև</w:t>
      </w:r>
      <w:r w:rsidRPr="006026F2">
        <w:rPr>
          <w:rFonts w:ascii="GHEA Grapalat" w:hAnsi="GHEA Grapalat"/>
          <w:sz w:val="24"/>
          <w:szCs w:val="24"/>
          <w:lang w:val="hy-AM"/>
        </w:rPr>
        <w:t xml:space="preserve"> Եվրոպական դատարանի նախադեպային իրավունքում: Այսպես, Մարդու իրավունքների եվրոպական դատարան</w:t>
      </w:r>
      <w:r>
        <w:rPr>
          <w:rFonts w:ascii="GHEA Grapalat" w:hAnsi="GHEA Grapalat"/>
          <w:sz w:val="24"/>
          <w:szCs w:val="24"/>
          <w:lang w:val="hy-AM"/>
        </w:rPr>
        <w:t>ը, Ո</w:t>
      </w:r>
      <w:r w:rsidRPr="006026F2">
        <w:rPr>
          <w:rFonts w:ascii="GHEA Grapalat" w:hAnsi="GHEA Grapalat"/>
          <w:sz w:val="24"/>
          <w:szCs w:val="24"/>
          <w:lang w:val="hy-AM"/>
        </w:rPr>
        <w:t>ւկրաինայի դեմ կայացված վճռ</w:t>
      </w:r>
      <w:r>
        <w:rPr>
          <w:rFonts w:ascii="GHEA Grapalat" w:hAnsi="GHEA Grapalat"/>
          <w:sz w:val="24"/>
          <w:szCs w:val="24"/>
          <w:lang w:val="hy-AM"/>
        </w:rPr>
        <w:t>ով</w:t>
      </w:r>
      <w:r w:rsidRPr="006026F2">
        <w:rPr>
          <w:rFonts w:ascii="GHEA Grapalat" w:hAnsi="GHEA Grapalat"/>
          <w:sz w:val="24"/>
          <w:szCs w:val="24"/>
          <w:lang w:val="hy-AM"/>
        </w:rPr>
        <w:t xml:space="preserve"> անդրադառնալով հարկային օրենսդրությանը</w:t>
      </w:r>
      <w:r>
        <w:rPr>
          <w:rFonts w:ascii="GHEA Grapalat" w:hAnsi="GHEA Grapalat"/>
          <w:sz w:val="24"/>
          <w:szCs w:val="24"/>
          <w:lang w:val="hy-AM"/>
        </w:rPr>
        <w:t>,</w:t>
      </w:r>
      <w:r w:rsidRPr="006026F2">
        <w:rPr>
          <w:rFonts w:ascii="GHEA Grapalat" w:hAnsi="GHEA Grapalat"/>
          <w:sz w:val="24"/>
          <w:szCs w:val="24"/>
          <w:lang w:val="hy-AM"/>
        </w:rPr>
        <w:t xml:space="preserve"> արտահայտել է դիրքորոշում առ այն, որ իրավունքի գերակայությունը, որը ժողովրդավարական հասարակության հիմնարար սկզբունքներից է, ընկած է Մարդու իրավունքների եվրոպական կոնվենցիայի բոլոր հոդվածների հիմքում։ Ինչպես Կոնվենցիային կից թիվ 1 արձանագրությամբ, այնպես էլ Կոնվենցիայում ամրագրված ցանկացած իրավունքի նկատմամբ պետության միջամտությունը պետք է լինի «օրինական»։ Օրինական միջամտությունը ենթադրում է, որ կիրառված միջոց</w:t>
      </w:r>
      <w:r>
        <w:rPr>
          <w:rFonts w:ascii="GHEA Grapalat" w:hAnsi="GHEA Grapalat"/>
          <w:sz w:val="24"/>
          <w:szCs w:val="24"/>
          <w:lang w:val="hy-AM"/>
        </w:rPr>
        <w:t>ը պետք է սահմանված լինի</w:t>
      </w:r>
      <w:r w:rsidRPr="006026F2">
        <w:rPr>
          <w:rFonts w:ascii="GHEA Grapalat" w:hAnsi="GHEA Grapalat"/>
          <w:sz w:val="24"/>
          <w:szCs w:val="24"/>
          <w:lang w:val="hy-AM"/>
        </w:rPr>
        <w:t xml:space="preserve"> ներպետական օրենսդրությամբ</w:t>
      </w:r>
      <w:r>
        <w:rPr>
          <w:rFonts w:ascii="GHEA Grapalat" w:hAnsi="GHEA Grapalat"/>
          <w:sz w:val="24"/>
          <w:szCs w:val="24"/>
          <w:lang w:val="hy-AM"/>
        </w:rPr>
        <w:t xml:space="preserve">, ինչն էլ իր հերթին </w:t>
      </w:r>
      <w:r w:rsidRPr="006026F2">
        <w:rPr>
          <w:rFonts w:ascii="GHEA Grapalat" w:hAnsi="GHEA Grapalat"/>
          <w:sz w:val="24"/>
          <w:szCs w:val="24"/>
          <w:lang w:val="hy-AM"/>
        </w:rPr>
        <w:t>պետք է լինի շահագրգիռ անձանց համար հասանելի, հստակ և կանխատեսելի իր կիրառման մեջ</w:t>
      </w:r>
      <w:r>
        <w:rPr>
          <w:rStyle w:val="FootnoteReference"/>
          <w:rFonts w:ascii="GHEA Grapalat" w:hAnsi="GHEA Grapalat"/>
          <w:sz w:val="24"/>
          <w:szCs w:val="24"/>
          <w:lang w:val="hy-AM"/>
        </w:rPr>
        <w:footnoteReference w:id="2"/>
      </w:r>
      <w:r w:rsidRPr="006026F2">
        <w:rPr>
          <w:rFonts w:ascii="GHEA Grapalat" w:hAnsi="GHEA Grapalat"/>
          <w:sz w:val="24"/>
          <w:szCs w:val="24"/>
          <w:lang w:val="hy-AM"/>
        </w:rPr>
        <w:t xml:space="preserve">։ </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lastRenderedPageBreak/>
        <w:t>Սահմանադրության 50-րդ հոդված</w:t>
      </w:r>
      <w:r>
        <w:rPr>
          <w:rFonts w:ascii="GHEA Grapalat" w:hAnsi="GHEA Grapalat"/>
          <w:sz w:val="24"/>
          <w:szCs w:val="24"/>
          <w:lang w:val="hy-AM"/>
        </w:rPr>
        <w:t xml:space="preserve">ով սահմանվում է մարդու՝ </w:t>
      </w:r>
      <w:r w:rsidRPr="006026F2">
        <w:rPr>
          <w:rFonts w:ascii="GHEA Grapalat" w:hAnsi="GHEA Grapalat"/>
          <w:sz w:val="24"/>
          <w:szCs w:val="24"/>
          <w:lang w:val="hy-AM"/>
        </w:rPr>
        <w:t>վարչական մարմինների կողմից իրեն առնչվող գործերի անաչառ, արդարացի և ողջամիտ ժամկետում քննության իրավունք</w:t>
      </w:r>
      <w:r>
        <w:rPr>
          <w:rFonts w:ascii="GHEA Grapalat" w:hAnsi="GHEA Grapalat"/>
          <w:sz w:val="24"/>
          <w:szCs w:val="24"/>
          <w:lang w:val="hy-AM"/>
        </w:rPr>
        <w:t xml:space="preserve">ը, միևնույն ժամանակ սահմանելով անձի </w:t>
      </w:r>
      <w:r w:rsidRPr="006026F2">
        <w:rPr>
          <w:rFonts w:ascii="GHEA Grapalat" w:hAnsi="GHEA Grapalat"/>
          <w:sz w:val="24"/>
          <w:szCs w:val="24"/>
          <w:lang w:val="hy-AM"/>
        </w:rPr>
        <w:t>իրեն վերաբերող բոլոր փաստաթղթերին ծանոթանալու</w:t>
      </w:r>
      <w:r>
        <w:rPr>
          <w:rFonts w:ascii="GHEA Grapalat" w:hAnsi="GHEA Grapalat"/>
          <w:sz w:val="24"/>
          <w:szCs w:val="24"/>
          <w:lang w:val="hy-AM"/>
        </w:rPr>
        <w:t>՝</w:t>
      </w:r>
      <w:r w:rsidRPr="001E5933">
        <w:rPr>
          <w:rFonts w:ascii="GHEA Grapalat" w:hAnsi="GHEA Grapalat"/>
          <w:sz w:val="24"/>
          <w:szCs w:val="24"/>
          <w:lang w:val="hy-AM"/>
        </w:rPr>
        <w:t xml:space="preserve"> </w:t>
      </w:r>
      <w:r w:rsidRPr="006026F2">
        <w:rPr>
          <w:rFonts w:ascii="GHEA Grapalat" w:hAnsi="GHEA Grapalat"/>
          <w:sz w:val="24"/>
          <w:szCs w:val="24"/>
          <w:lang w:val="hy-AM"/>
        </w:rPr>
        <w:t>բացառությամբ օրենքով պահպանվող գաղտնիքների</w:t>
      </w:r>
      <w:r>
        <w:rPr>
          <w:rFonts w:ascii="GHEA Grapalat" w:hAnsi="GHEA Grapalat"/>
          <w:sz w:val="24"/>
          <w:szCs w:val="24"/>
          <w:lang w:val="hy-AM"/>
        </w:rPr>
        <w:t xml:space="preserve">, և </w:t>
      </w:r>
      <w:r w:rsidRPr="006026F2">
        <w:rPr>
          <w:rFonts w:ascii="GHEA Grapalat" w:hAnsi="GHEA Grapalat"/>
          <w:sz w:val="24"/>
          <w:szCs w:val="24"/>
          <w:lang w:val="hy-AM"/>
        </w:rPr>
        <w:t xml:space="preserve">մինչև անձի համար միջամտող անհատական ակտն ընդունելը </w:t>
      </w:r>
      <w:r>
        <w:rPr>
          <w:rFonts w:ascii="GHEA Grapalat" w:hAnsi="GHEA Grapalat"/>
          <w:sz w:val="24"/>
          <w:szCs w:val="24"/>
          <w:lang w:val="hy-AM"/>
        </w:rPr>
        <w:t>վերջինիս լսված լինելու իրավունքները:</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t>Սահմանադրության 78-րդ հոդվածի համաձայն՝ 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 Սահմանափակման համար ընտրված միջոցները պետք է համարժեք լինեն սահմանափակվող հիմնական իրավունքի և ազատության նշանակությանը:</w:t>
      </w:r>
    </w:p>
    <w:p w:rsidR="000007BF"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t>Վերոգրյալի կապակցությամբ</w:t>
      </w:r>
      <w:r>
        <w:rPr>
          <w:rFonts w:ascii="GHEA Grapalat" w:hAnsi="GHEA Grapalat"/>
          <w:sz w:val="24"/>
          <w:szCs w:val="24"/>
          <w:lang w:val="hy-AM"/>
        </w:rPr>
        <w:t>՝</w:t>
      </w:r>
      <w:r w:rsidRPr="006026F2">
        <w:rPr>
          <w:rFonts w:ascii="GHEA Grapalat" w:hAnsi="GHEA Grapalat"/>
          <w:sz w:val="24"/>
          <w:szCs w:val="24"/>
          <w:lang w:val="hy-AM"/>
        </w:rPr>
        <w:t xml:space="preserve"> 2016 թվականի փետրվարի 23-ի թիվ ՍԴՈ-1256 և 2016 թվականի հուլիսի 12-ի թիվ ՍԴՈ-1293 որոշումներ</w:t>
      </w:r>
      <w:r>
        <w:rPr>
          <w:rFonts w:ascii="GHEA Grapalat" w:hAnsi="GHEA Grapalat"/>
          <w:sz w:val="24"/>
          <w:szCs w:val="24"/>
          <w:lang w:val="hy-AM"/>
        </w:rPr>
        <w:t>ով Սահմանադրական դատարանն ամրագրել է դիրքորոշում առ այն,</w:t>
      </w:r>
      <w:r w:rsidRPr="006026F2">
        <w:rPr>
          <w:rFonts w:ascii="GHEA Grapalat" w:hAnsi="GHEA Grapalat"/>
          <w:sz w:val="24"/>
          <w:szCs w:val="24"/>
          <w:lang w:val="hy-AM"/>
        </w:rPr>
        <w:t xml:space="preserve"> որ հիմնական իրավունքների և ազատությունների սահմանափակման համար ընտրված միջոցները չպիտի խաթարեն ողջամիտ հավասարակշռությունը հետապնդվող նպատակի և այդ նպատակին հասնելու համար օգտագործված միջոցի միջև: </w:t>
      </w:r>
    </w:p>
    <w:p w:rsidR="000007BF" w:rsidRPr="00053369" w:rsidRDefault="000007BF" w:rsidP="000007BF">
      <w:pPr>
        <w:spacing w:after="0" w:line="360" w:lineRule="auto"/>
        <w:ind w:left="-360" w:right="149" w:firstLine="720"/>
        <w:jc w:val="both"/>
        <w:rPr>
          <w:rFonts w:ascii="GHEA Grapalat" w:hAnsi="GHEA Grapalat"/>
          <w:sz w:val="24"/>
          <w:szCs w:val="24"/>
          <w:lang w:val="hy-AM"/>
        </w:rPr>
      </w:pPr>
      <w:r w:rsidRPr="001F1B1E">
        <w:rPr>
          <w:rFonts w:ascii="GHEA Grapalat" w:hAnsi="GHEA Grapalat"/>
          <w:sz w:val="24"/>
          <w:szCs w:val="24"/>
          <w:lang w:val="hy-AM"/>
        </w:rPr>
        <w:t>Հետապնդվող նպատակին հասնելու համար միջոցը պիտանի է այն դեպքում, եթե այն առնվազն կարող է նպաստել այդ նպատակին հասնելուն։ Հիմնական իրավունքին միջամտել անհրաժեշտ է միայն այն դեպքում, երբ հետապնդվող նպատակին անհնար է հասնել մեկ այլ, սակայն նույնչափ արդյունավետ ճանապարհով, որն ավելի քիչ կսահմանափակի խնդրո առարկա հիմնական իրավունքով պաշտպանված իրավական բարիքը։ Բացի այդ, միջամտությունը պետք է համարժեք կամ չափավոր լինի, այսինքն՝ միջամտության սաստկությունը չպետք է անհամարժեք լինի սահմանափակվող հիմնական իրավունքի նշանակությանը և կշռին</w:t>
      </w:r>
      <w:r w:rsidRPr="001F1B1E">
        <w:rPr>
          <w:rFonts w:ascii="GHEA Grapalat" w:hAnsi="GHEA Grapalat"/>
          <w:sz w:val="24"/>
          <w:szCs w:val="24"/>
          <w:vertAlign w:val="superscript"/>
          <w:lang w:val="hy-AM"/>
        </w:rPr>
        <w:footnoteReference w:id="3"/>
      </w:r>
      <w:r w:rsidRPr="001F1B1E">
        <w:rPr>
          <w:rFonts w:ascii="GHEA Grapalat" w:hAnsi="GHEA Grapalat"/>
          <w:sz w:val="24"/>
          <w:szCs w:val="24"/>
          <w:lang w:val="hy-AM"/>
        </w:rPr>
        <w:t>։</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lastRenderedPageBreak/>
        <w:t xml:space="preserve">Համաչափության սկզբունքն իր արտացոլումն է գտել նաև միջազգային մի շարք փաստաթղթերում, ինչպես նաև՝ </w:t>
      </w:r>
      <w:r>
        <w:rPr>
          <w:rFonts w:ascii="GHEA Grapalat" w:hAnsi="GHEA Grapalat"/>
          <w:sz w:val="24"/>
          <w:szCs w:val="24"/>
          <w:lang w:val="hy-AM"/>
        </w:rPr>
        <w:t>Ե</w:t>
      </w:r>
      <w:r w:rsidRPr="006026F2">
        <w:rPr>
          <w:rFonts w:ascii="GHEA Grapalat" w:hAnsi="GHEA Grapalat"/>
          <w:sz w:val="24"/>
          <w:szCs w:val="24"/>
          <w:lang w:val="hy-AM"/>
        </w:rPr>
        <w:t>վրոպական դատարանի որոշումներում</w:t>
      </w:r>
      <w:r>
        <w:rPr>
          <w:rFonts w:ascii="GHEA Grapalat" w:hAnsi="GHEA Grapalat"/>
          <w:sz w:val="24"/>
          <w:szCs w:val="24"/>
          <w:lang w:val="hy-AM"/>
        </w:rPr>
        <w:t xml:space="preserve"> առ այն, որ </w:t>
      </w:r>
      <w:r w:rsidRPr="006026F2">
        <w:rPr>
          <w:rFonts w:ascii="GHEA Grapalat" w:hAnsi="GHEA Grapalat"/>
          <w:sz w:val="24"/>
          <w:szCs w:val="24"/>
          <w:lang w:val="hy-AM"/>
        </w:rPr>
        <w:t>միջամտության համաչափությունը պետք է գնահատվի «ժողովրդավարական հասարակությունում անհրաժեշտության տեսանկյունից»։ Ընդ որում` «ժողովրդավարական հասարակությունում անհրաժեշտ» կատեգորիայի գնահատում</w:t>
      </w:r>
      <w:r>
        <w:rPr>
          <w:rFonts w:ascii="GHEA Grapalat" w:hAnsi="GHEA Grapalat"/>
          <w:sz w:val="24"/>
          <w:szCs w:val="24"/>
          <w:lang w:val="hy-AM"/>
        </w:rPr>
        <w:t>ն</w:t>
      </w:r>
      <w:r w:rsidRPr="006026F2">
        <w:rPr>
          <w:rFonts w:ascii="GHEA Grapalat" w:hAnsi="GHEA Grapalat"/>
          <w:sz w:val="24"/>
          <w:szCs w:val="24"/>
          <w:lang w:val="hy-AM"/>
        </w:rPr>
        <w:t xml:space="preserve"> իրականացվում է միասնական չափանիշներով, որոնք տրվում են Եվրո</w:t>
      </w:r>
      <w:r>
        <w:rPr>
          <w:rFonts w:ascii="GHEA Grapalat" w:hAnsi="GHEA Grapalat"/>
          <w:sz w:val="24"/>
          <w:szCs w:val="24"/>
          <w:lang w:val="hy-AM"/>
        </w:rPr>
        <w:t xml:space="preserve">պական </w:t>
      </w:r>
      <w:r w:rsidRPr="006026F2">
        <w:rPr>
          <w:rFonts w:ascii="GHEA Grapalat" w:hAnsi="GHEA Grapalat"/>
          <w:sz w:val="24"/>
          <w:szCs w:val="24"/>
          <w:lang w:val="hy-AM"/>
        </w:rPr>
        <w:t>դատարանի պրակտիկայում։ Այսպես՝ միջամտությունը պետք է պայմանավորված լինի հրատապ հասարակական պահանջներով, լինի համարժեք իրավական նպատակներին հասնելու համար, իսկ փաստարկները, որոնք բերում է պատասխանող պետությունը միջամտության օգտին, պետք է լինեն համոզիչ և անվիճելի։ Նման մոտեցում է դրսևորել Եվրո</w:t>
      </w:r>
      <w:r>
        <w:rPr>
          <w:rFonts w:ascii="GHEA Grapalat" w:hAnsi="GHEA Grapalat"/>
          <w:sz w:val="24"/>
          <w:szCs w:val="24"/>
          <w:lang w:val="hy-AM"/>
        </w:rPr>
        <w:t xml:space="preserve">պական </w:t>
      </w:r>
      <w:r w:rsidRPr="006026F2">
        <w:rPr>
          <w:rFonts w:ascii="GHEA Grapalat" w:hAnsi="GHEA Grapalat"/>
          <w:sz w:val="24"/>
          <w:szCs w:val="24"/>
          <w:lang w:val="hy-AM"/>
        </w:rPr>
        <w:t>դատարանը</w:t>
      </w:r>
      <w:r w:rsidRPr="006026F2">
        <w:rPr>
          <w:rFonts w:ascii="GHEA Grapalat" w:hAnsi="GHEA Grapalat"/>
          <w:sz w:val="24"/>
          <w:szCs w:val="24"/>
          <w:vertAlign w:val="superscript"/>
          <w:lang w:val="hy-AM"/>
        </w:rPr>
        <w:footnoteReference w:id="4"/>
      </w:r>
      <w:r w:rsidRPr="006026F2">
        <w:rPr>
          <w:rFonts w:ascii="GHEA Grapalat" w:hAnsi="GHEA Grapalat"/>
          <w:sz w:val="24"/>
          <w:szCs w:val="24"/>
          <w:vertAlign w:val="superscript"/>
          <w:lang w:val="hy-AM"/>
        </w:rPr>
        <w:t>:</w:t>
      </w:r>
      <w:r w:rsidRPr="006026F2">
        <w:rPr>
          <w:rFonts w:ascii="GHEA Grapalat" w:hAnsi="GHEA Grapalat"/>
          <w:sz w:val="24"/>
          <w:szCs w:val="24"/>
          <w:lang w:val="hy-AM"/>
        </w:rPr>
        <w:t xml:space="preserve"> </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t>Մինչդեռ</w:t>
      </w:r>
      <w:r>
        <w:rPr>
          <w:rFonts w:ascii="GHEA Grapalat" w:hAnsi="GHEA Grapalat"/>
          <w:sz w:val="24"/>
          <w:szCs w:val="24"/>
          <w:lang w:val="hy-AM"/>
        </w:rPr>
        <w:t>,</w:t>
      </w:r>
      <w:r w:rsidRPr="006026F2">
        <w:rPr>
          <w:rFonts w:ascii="GHEA Grapalat" w:hAnsi="GHEA Grapalat"/>
          <w:sz w:val="24"/>
          <w:szCs w:val="24"/>
          <w:lang w:val="hy-AM"/>
        </w:rPr>
        <w:t xml:space="preserve"> ներկայիս կարգավորումներով անձի կողմից արտադրական, այլ առևտրային և հասարակական նշանակության գույքի, ներառյալ` շենքերի, շինությունների (այդ թվում` անավարտ (կիսակառույց), արդյունաբերության, ընդերքօգտագործման և այլ արտադրական նշանակության հողերի կամ գույքի օտարումը նույնպես համարվում է ձեռնարկատիրական գործունեություն՝ առանց հաշվի առնելու այն</w:t>
      </w:r>
      <w:r>
        <w:rPr>
          <w:rFonts w:ascii="GHEA Grapalat" w:hAnsi="GHEA Grapalat"/>
          <w:sz w:val="24"/>
          <w:szCs w:val="24"/>
          <w:lang w:val="hy-AM"/>
        </w:rPr>
        <w:t xml:space="preserve">, որ </w:t>
      </w:r>
      <w:r w:rsidRPr="006026F2">
        <w:rPr>
          <w:rFonts w:ascii="GHEA Grapalat" w:hAnsi="GHEA Grapalat"/>
          <w:sz w:val="24"/>
          <w:szCs w:val="24"/>
          <w:lang w:val="hy-AM"/>
        </w:rPr>
        <w:t>դրանց օտարումը կարող է իրականացվել անձնական կարիքներից ելնելով, այլ ոչ՝ ձեռնարկատիրական նպատակով։</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sidRPr="006026F2">
        <w:rPr>
          <w:rFonts w:ascii="GHEA Grapalat" w:hAnsi="GHEA Grapalat"/>
          <w:sz w:val="24"/>
          <w:szCs w:val="24"/>
          <w:lang w:val="hy-AM"/>
        </w:rPr>
        <w:t>Այս առումով անհասկանալի է նաև հարկման տարբերակված մոտեցումը գույքի տարբեր տեսակների նկատմամբ։ Մասնավորապես, գույքի մի տեսակի դեպքում ձեռնարկատիրական է դիտվում նույն տեսակի գույքի՝ տարվա ընթացքում երկրորդ և ավելի թվով օտարումը, եթե դրանց և´ ձեռքբերումը, և´ օտարումը տեղի է ունեցել մեկ տարվա ընթացքում, գույքի մյուս տեսակի դեպքում՝ ձեռնարկատիրական է դիտվում գույքի հենց առաջին օտարումը։</w:t>
      </w:r>
    </w:p>
    <w:p w:rsidR="000007BF" w:rsidRPr="006026F2" w:rsidRDefault="000007BF" w:rsidP="000007BF">
      <w:pPr>
        <w:spacing w:after="0" w:line="360" w:lineRule="auto"/>
        <w:ind w:left="-360" w:right="149" w:firstLine="720"/>
        <w:jc w:val="both"/>
        <w:rPr>
          <w:rFonts w:ascii="GHEA Grapalat" w:hAnsi="GHEA Grapalat"/>
          <w:sz w:val="24"/>
          <w:szCs w:val="24"/>
          <w:lang w:val="hy-AM"/>
        </w:rPr>
      </w:pPr>
      <w:r w:rsidRPr="00422137">
        <w:rPr>
          <w:rFonts w:ascii="GHEA Grapalat" w:hAnsi="GHEA Grapalat"/>
          <w:sz w:val="24"/>
          <w:szCs w:val="24"/>
          <w:lang w:val="hy-AM"/>
        </w:rPr>
        <w:t>Անհրաժեշտ է նշել, որ նմանատիպ կարգավորումները խնդրահարույց են նաև այն տեսանկյունից, որ գույք ձեռք բերողն անուղղակի հարկն արդեն իսկ վճարել է։</w:t>
      </w:r>
    </w:p>
    <w:p w:rsidR="000007BF" w:rsidRPr="006026F2" w:rsidRDefault="000007BF" w:rsidP="000007BF">
      <w:pPr>
        <w:spacing w:after="0" w:line="360" w:lineRule="auto"/>
        <w:ind w:left="-360" w:right="149" w:firstLine="720"/>
        <w:jc w:val="both"/>
        <w:rPr>
          <w:rFonts w:ascii="GHEA Grapalat" w:hAnsi="GHEA Grapalat"/>
          <w:i/>
          <w:sz w:val="24"/>
          <w:szCs w:val="24"/>
          <w:lang w:val="hy-AM"/>
        </w:rPr>
      </w:pPr>
      <w:r w:rsidRPr="006026F2">
        <w:rPr>
          <w:rFonts w:ascii="GHEA Grapalat" w:hAnsi="GHEA Grapalat" w:cs="Arial"/>
          <w:i/>
          <w:sz w:val="24"/>
          <w:szCs w:val="24"/>
          <w:lang w:val="hy-AM"/>
        </w:rPr>
        <w:lastRenderedPageBreak/>
        <w:t>Հաշվի</w:t>
      </w:r>
      <w:r w:rsidRPr="006026F2">
        <w:rPr>
          <w:rFonts w:ascii="GHEA Grapalat" w:hAnsi="GHEA Grapalat"/>
          <w:i/>
          <w:sz w:val="24"/>
          <w:szCs w:val="24"/>
          <w:lang w:val="hy-AM"/>
        </w:rPr>
        <w:t xml:space="preserve"> </w:t>
      </w:r>
      <w:r w:rsidRPr="006026F2">
        <w:rPr>
          <w:rFonts w:ascii="GHEA Grapalat" w:hAnsi="GHEA Grapalat" w:cs="Arial"/>
          <w:i/>
          <w:sz w:val="24"/>
          <w:szCs w:val="24"/>
          <w:lang w:val="hy-AM"/>
        </w:rPr>
        <w:t xml:space="preserve">առնելով վերոգրյալը՝ </w:t>
      </w:r>
      <w:r w:rsidRPr="006026F2">
        <w:rPr>
          <w:rFonts w:ascii="GHEA Grapalat" w:hAnsi="GHEA Grapalat"/>
          <w:i/>
          <w:sz w:val="24"/>
          <w:szCs w:val="24"/>
          <w:lang w:val="hy-AM"/>
        </w:rPr>
        <w:t>անհրաժեշտ է՝</w:t>
      </w:r>
    </w:p>
    <w:p w:rsidR="000007BF" w:rsidRPr="006026F2" w:rsidRDefault="000007BF" w:rsidP="000007BF">
      <w:pPr>
        <w:pStyle w:val="ListParagraph"/>
        <w:numPr>
          <w:ilvl w:val="0"/>
          <w:numId w:val="3"/>
        </w:numPr>
        <w:spacing w:after="0" w:line="360" w:lineRule="auto"/>
        <w:ind w:left="-360" w:right="149" w:firstLine="720"/>
        <w:jc w:val="both"/>
        <w:rPr>
          <w:rFonts w:ascii="GHEA Grapalat" w:hAnsi="GHEA Grapalat"/>
          <w:i/>
          <w:sz w:val="24"/>
          <w:szCs w:val="24"/>
          <w:lang w:val="hy-AM"/>
        </w:rPr>
      </w:pPr>
      <w:r w:rsidRPr="006026F2">
        <w:rPr>
          <w:rFonts w:ascii="GHEA Grapalat" w:hAnsi="GHEA Grapalat"/>
          <w:i/>
          <w:sz w:val="24"/>
          <w:szCs w:val="24"/>
          <w:lang w:val="hy-AM"/>
        </w:rPr>
        <w:t>հարկային օրենսգրքի դրույթները ձևակերպել իրենց նախնական նպատակին, այն է</w:t>
      </w:r>
      <w:r>
        <w:rPr>
          <w:rFonts w:ascii="GHEA Grapalat" w:hAnsi="GHEA Grapalat"/>
          <w:i/>
          <w:sz w:val="24"/>
          <w:szCs w:val="24"/>
          <w:lang w:val="hy-AM"/>
        </w:rPr>
        <w:t>՝</w:t>
      </w:r>
      <w:r w:rsidRPr="006026F2">
        <w:rPr>
          <w:rFonts w:ascii="GHEA Grapalat" w:hAnsi="GHEA Grapalat"/>
          <w:i/>
          <w:sz w:val="24"/>
          <w:szCs w:val="24"/>
          <w:lang w:val="hy-AM"/>
        </w:rPr>
        <w:t xml:space="preserve"> ապօրինի ձեռնարկատիրության դեմ պայքարին համա</w:t>
      </w:r>
      <w:r>
        <w:rPr>
          <w:rFonts w:ascii="GHEA Grapalat" w:hAnsi="GHEA Grapalat"/>
          <w:i/>
          <w:sz w:val="24"/>
          <w:szCs w:val="24"/>
          <w:lang w:val="hy-AM"/>
        </w:rPr>
        <w:t>հունչ</w:t>
      </w:r>
      <w:r w:rsidRPr="000F7A74">
        <w:rPr>
          <w:rFonts w:ascii="GHEA Grapalat" w:hAnsi="GHEA Grapalat"/>
          <w:i/>
          <w:sz w:val="24"/>
          <w:szCs w:val="24"/>
          <w:lang w:val="hy-AM"/>
        </w:rPr>
        <w:t>.</w:t>
      </w:r>
    </w:p>
    <w:p w:rsidR="000007BF" w:rsidRPr="006026F2" w:rsidRDefault="000007BF" w:rsidP="000007BF">
      <w:pPr>
        <w:pStyle w:val="ListParagraph"/>
        <w:numPr>
          <w:ilvl w:val="0"/>
          <w:numId w:val="3"/>
        </w:numPr>
        <w:spacing w:after="0" w:line="360" w:lineRule="auto"/>
        <w:ind w:left="-360" w:right="149" w:firstLine="720"/>
        <w:jc w:val="both"/>
        <w:rPr>
          <w:rFonts w:ascii="GHEA Grapalat" w:hAnsi="GHEA Grapalat"/>
          <w:i/>
          <w:sz w:val="24"/>
          <w:szCs w:val="24"/>
          <w:lang w:val="hy-AM"/>
        </w:rPr>
      </w:pPr>
      <w:r w:rsidRPr="004371F1">
        <w:rPr>
          <w:rFonts w:ascii="GHEA Grapalat" w:hAnsi="GHEA Grapalat"/>
          <w:i/>
          <w:sz w:val="24"/>
          <w:szCs w:val="24"/>
          <w:lang w:val="hy-AM"/>
        </w:rPr>
        <w:t>h</w:t>
      </w:r>
      <w:r>
        <w:rPr>
          <w:rFonts w:ascii="GHEA Grapalat" w:hAnsi="GHEA Grapalat"/>
          <w:i/>
          <w:sz w:val="24"/>
          <w:szCs w:val="24"/>
          <w:lang w:val="hy-AM"/>
        </w:rPr>
        <w:t>արկային օ</w:t>
      </w:r>
      <w:r w:rsidRPr="006026F2">
        <w:rPr>
          <w:rFonts w:ascii="GHEA Grapalat" w:hAnsi="GHEA Grapalat"/>
          <w:i/>
          <w:sz w:val="24"/>
          <w:szCs w:val="24"/>
          <w:lang w:val="hy-AM"/>
        </w:rPr>
        <w:t>րենսգրքի 147-րդ հոդվածի 16-րդ կետով սահմանված ձեռնարկատիրական համարվող գործունեության հասկացությունը վերաձևակերպել և անձի կողմից անձնական, ընտանեկան կամ տնային օգտագործման (բնակարան, առանձնատուն (այդ թվում` անավարտ (կիսակառույց), գյուղատնտեսական նշանակության և բնակավայրերի հող, ավտոտնակ, ավտոմեքենա) նույն տեսակի գույքի օտարումը որակել ձեռնարկատիրական միայն պարբերական բնույթ կրելու դեպքում</w:t>
      </w:r>
      <w:r w:rsidRPr="004371F1">
        <w:rPr>
          <w:rFonts w:ascii="GHEA Grapalat" w:hAnsi="GHEA Grapalat"/>
          <w:i/>
          <w:sz w:val="24"/>
          <w:szCs w:val="24"/>
          <w:lang w:val="hy-AM"/>
        </w:rPr>
        <w:t>.</w:t>
      </w:r>
    </w:p>
    <w:p w:rsidR="00891C6A" w:rsidRPr="00F71F8A" w:rsidRDefault="000007BF" w:rsidP="00F71F8A">
      <w:pPr>
        <w:pStyle w:val="ListParagraph"/>
        <w:numPr>
          <w:ilvl w:val="0"/>
          <w:numId w:val="3"/>
        </w:numPr>
        <w:spacing w:line="360" w:lineRule="auto"/>
        <w:ind w:left="-360" w:right="149" w:firstLine="810"/>
        <w:jc w:val="both"/>
        <w:rPr>
          <w:lang w:val="hy-AM"/>
        </w:rPr>
      </w:pPr>
      <w:r w:rsidRPr="00F71F8A">
        <w:rPr>
          <w:rFonts w:ascii="GHEA Grapalat" w:hAnsi="GHEA Grapalat"/>
          <w:i/>
          <w:sz w:val="24"/>
          <w:szCs w:val="24"/>
          <w:lang w:val="hy-AM"/>
        </w:rPr>
        <w:t>hարկային օրենսգրքում բացառել ըստ գույքի նշանակության տեսակների հարկման նկատմամբ առկա տարբերակված մոտեցումը (արտադրական, այլ առևտրային և հասարակական նշանակության գույք, ներառյալ` շենքեր, շինություններ (այդ թվում` անավարտ (կիսակառույց), արդյունաբերության, ընդերքօգտագործման և այլ արտադրական նշանակության հողեր կամ գույք), քանի որ վերոնշյալ գույքի տեսակների համար հարկման հատուկ մեխանիզմ սահմանելը խնդրահարույց է մի շարք տեսանկյուններից, օրինակ՝ տարբերակված մոտեցում, սեփականության իրավունքի անհիմն սահմանափակում (մասնավորապես խոսքը վերաբերում է հասարակական նշանակության գույքի օտարմանը</w:t>
      </w:r>
      <w:r w:rsidR="00F71F8A" w:rsidRPr="00F71F8A">
        <w:rPr>
          <w:rFonts w:ascii="GHEA Grapalat" w:hAnsi="GHEA Grapalat"/>
          <w:i/>
          <w:sz w:val="24"/>
          <w:szCs w:val="24"/>
          <w:lang w:val="hy-AM"/>
        </w:rPr>
        <w:t>:</w:t>
      </w:r>
    </w:p>
    <w:sectPr w:rsidR="00891C6A" w:rsidRPr="00F71F8A">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6D" w:rsidRDefault="00E63C6D" w:rsidP="000007BF">
      <w:pPr>
        <w:spacing w:after="0" w:line="240" w:lineRule="auto"/>
      </w:pPr>
      <w:r>
        <w:separator/>
      </w:r>
    </w:p>
  </w:endnote>
  <w:endnote w:type="continuationSeparator" w:id="0">
    <w:p w:rsidR="00E63C6D" w:rsidRDefault="00E63C6D" w:rsidP="0000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6D" w:rsidRDefault="00E63C6D" w:rsidP="000007BF">
      <w:pPr>
        <w:spacing w:after="0" w:line="240" w:lineRule="auto"/>
      </w:pPr>
      <w:r>
        <w:separator/>
      </w:r>
    </w:p>
  </w:footnote>
  <w:footnote w:type="continuationSeparator" w:id="0">
    <w:p w:rsidR="00E63C6D" w:rsidRDefault="00E63C6D" w:rsidP="000007BF">
      <w:pPr>
        <w:spacing w:after="0" w:line="240" w:lineRule="auto"/>
      </w:pPr>
      <w:r>
        <w:continuationSeparator/>
      </w:r>
    </w:p>
  </w:footnote>
  <w:footnote w:id="1">
    <w:p w:rsidR="000007BF" w:rsidRPr="00DB4F96" w:rsidRDefault="000007BF" w:rsidP="00F71F8A">
      <w:pPr>
        <w:pStyle w:val="FootnoteText"/>
        <w:ind w:left="-360" w:right="149"/>
        <w:rPr>
          <w:rFonts w:ascii="GHEA Grapalat" w:hAnsi="GHEA Grapalat"/>
          <w:lang w:val="hy-AM"/>
        </w:rPr>
      </w:pPr>
      <w:r w:rsidRPr="00F71F8A">
        <w:rPr>
          <w:rStyle w:val="FootnoteReference"/>
          <w:rFonts w:ascii="GHEA Grapalat" w:hAnsi="GHEA Grapalat"/>
        </w:rPr>
        <w:footnoteRef/>
      </w:r>
      <w:r w:rsidRPr="00F71F8A">
        <w:rPr>
          <w:rFonts w:ascii="GHEA Grapalat" w:hAnsi="GHEA Grapalat"/>
        </w:rPr>
        <w:t xml:space="preserve"> </w:t>
      </w:r>
      <w:r w:rsidRPr="00DB4F96">
        <w:rPr>
          <w:rFonts w:ascii="GHEA Grapalat" w:hAnsi="GHEA Grapalat"/>
          <w:bCs/>
          <w:lang w:val="hy-AM"/>
        </w:rPr>
        <w:t>Տե՛ս</w:t>
      </w:r>
      <w:r w:rsidRPr="00DB4F96">
        <w:rPr>
          <w:rFonts w:cs="Calibri"/>
          <w:lang w:val="hy-AM"/>
        </w:rPr>
        <w:t> </w:t>
      </w:r>
      <w:hyperlink r:id="rId1" w:tgtFrame="_blank" w:history="1">
        <w:r w:rsidRPr="00DB4F96">
          <w:rPr>
            <w:rStyle w:val="Hyperlink"/>
            <w:rFonts w:ascii="GHEA Grapalat" w:hAnsi="GHEA Grapalat"/>
            <w:lang w:val="de-DE"/>
          </w:rPr>
          <w:t>http://www.parliament.am/drafts.php?sel=showdraft&amp;DraftID=2968&amp;Reading=0</w:t>
        </w:r>
      </w:hyperlink>
      <w:r w:rsidRPr="00DB4F96">
        <w:rPr>
          <w:rFonts w:cs="Calibri"/>
          <w:lang w:val="en-US"/>
        </w:rPr>
        <w:t> </w:t>
      </w:r>
    </w:p>
  </w:footnote>
  <w:footnote w:id="2">
    <w:p w:rsidR="000007BF" w:rsidRPr="00E321E4" w:rsidRDefault="000007BF" w:rsidP="00F71F8A">
      <w:pPr>
        <w:pStyle w:val="FootnoteText"/>
        <w:tabs>
          <w:tab w:val="left" w:pos="9502"/>
        </w:tabs>
        <w:ind w:left="-360" w:right="187"/>
        <w:jc w:val="both"/>
        <w:rPr>
          <w:rFonts w:ascii="GHEA Grapalat" w:hAnsi="GHEA Grapalat"/>
          <w:lang w:val="hy-AM"/>
        </w:rPr>
      </w:pPr>
      <w:r w:rsidRPr="00F71F8A">
        <w:rPr>
          <w:rFonts w:ascii="GHEA Grapalat" w:hAnsi="GHEA Grapalat"/>
          <w:vertAlign w:val="superscript"/>
          <w:lang w:val="hy-AM"/>
        </w:rPr>
        <w:footnoteRef/>
      </w:r>
      <w:r w:rsidRPr="00015DB2">
        <w:rPr>
          <w:rFonts w:ascii="GHEA Grapalat" w:hAnsi="GHEA Grapalat"/>
          <w:lang w:val="hy-AM"/>
        </w:rPr>
        <w:t xml:space="preserve"> </w:t>
      </w:r>
      <w:r w:rsidRPr="00015DB2">
        <w:rPr>
          <w:rFonts w:ascii="GHEA Grapalat" w:hAnsi="GHEA Grapalat"/>
          <w:lang w:val="hy-AM"/>
        </w:rPr>
        <w:t>Տե՛</w:t>
      </w:r>
      <w:r w:rsidRPr="00E321E4">
        <w:rPr>
          <w:rFonts w:ascii="GHEA Grapalat" w:hAnsi="GHEA Grapalat"/>
          <w:lang w:val="hy-AM"/>
        </w:rPr>
        <w:t xml:space="preserve">ս Շհոկինն ընդդեմ Ուկրաինայի (Shchokin v. Ukraine) գործով 2010թվականի հոկտեմբերի 14-ի վճիռը, գանգատներ թիվ </w:t>
      </w:r>
      <w:hyperlink r:id="rId2" w:anchor="{&quot;appno&quot;:[&quot;23759/03&quot;]}" w:tgtFrame="_blank" w:history="1">
        <w:r w:rsidRPr="00E321E4">
          <w:rPr>
            <w:rFonts w:ascii="GHEA Grapalat" w:hAnsi="GHEA Grapalat"/>
            <w:lang w:val="hy-AM"/>
          </w:rPr>
          <w:t>23759/03</w:t>
        </w:r>
      </w:hyperlink>
      <w:r w:rsidRPr="00E321E4">
        <w:rPr>
          <w:rFonts w:ascii="GHEA Grapalat" w:hAnsi="GHEA Grapalat"/>
          <w:lang w:val="hy-AM"/>
        </w:rPr>
        <w:t xml:space="preserve"> և թիվ</w:t>
      </w:r>
      <w:r w:rsidRPr="00E321E4">
        <w:rPr>
          <w:rFonts w:cs="Calibri"/>
          <w:lang w:val="hy-AM"/>
        </w:rPr>
        <w:t> </w:t>
      </w:r>
      <w:hyperlink r:id="rId3" w:anchor="{&quot;appno&quot;:[&quot;37943/06&quot;]}" w:tgtFrame="_blank" w:history="1">
        <w:r w:rsidRPr="00E321E4">
          <w:rPr>
            <w:rFonts w:ascii="GHEA Grapalat" w:hAnsi="GHEA Grapalat"/>
            <w:lang w:val="hy-AM"/>
          </w:rPr>
          <w:t>37943/06</w:t>
        </w:r>
      </w:hyperlink>
      <w:r w:rsidRPr="00E321E4">
        <w:rPr>
          <w:rFonts w:ascii="GHEA Grapalat" w:hAnsi="GHEA Grapalat"/>
          <w:lang w:val="hy-AM"/>
        </w:rPr>
        <w:t>, կետ 50։</w:t>
      </w:r>
    </w:p>
  </w:footnote>
  <w:footnote w:id="3">
    <w:p w:rsidR="000007BF" w:rsidRPr="000B0A6D" w:rsidRDefault="000007BF" w:rsidP="00F71F8A">
      <w:pPr>
        <w:pStyle w:val="FootnoteText"/>
        <w:ind w:left="-360" w:right="149"/>
        <w:jc w:val="both"/>
        <w:rPr>
          <w:rFonts w:ascii="GHEA Grapalat" w:hAnsi="GHEA Grapalat"/>
          <w:lang w:val="hy-AM"/>
        </w:rPr>
      </w:pPr>
      <w:r w:rsidRPr="00F71F8A">
        <w:rPr>
          <w:rFonts w:ascii="GHEA Grapalat" w:hAnsi="GHEA Grapalat"/>
          <w:vertAlign w:val="superscript"/>
          <w:lang w:val="hy-AM"/>
        </w:rPr>
        <w:footnoteRef/>
      </w:r>
      <w:r w:rsidRPr="00F71F8A">
        <w:rPr>
          <w:rFonts w:ascii="GHEA Grapalat" w:hAnsi="GHEA Grapalat"/>
          <w:vertAlign w:val="superscript"/>
          <w:lang w:val="hy-AM"/>
        </w:rPr>
        <w:t xml:space="preserve"> </w:t>
      </w:r>
      <w:r w:rsidRPr="00E321E4">
        <w:rPr>
          <w:rFonts w:ascii="GHEA Grapalat" w:hAnsi="GHEA Grapalat"/>
          <w:lang w:val="hy-AM"/>
        </w:rPr>
        <w:t>Տե՛ս Վարդան Պողոսյան, Նորա Սարգսյան, Հայաստանի</w:t>
      </w:r>
      <w:r w:rsidRPr="000B0A6D">
        <w:rPr>
          <w:rFonts w:ascii="GHEA Grapalat" w:hAnsi="GHEA Grapalat"/>
          <w:lang w:val="hy-AM"/>
        </w:rPr>
        <w:t xml:space="preserve"> Հանրապետության 2015թ</w:t>
      </w:r>
      <w:r w:rsidRPr="00E321E4">
        <w:rPr>
          <w:rFonts w:ascii="GHEA Grapalat" w:hAnsi="GHEA Grapalat" w:hint="eastAsia"/>
          <w:lang w:val="hy-AM"/>
        </w:rPr>
        <w:t>․</w:t>
      </w:r>
      <w:r w:rsidRPr="000B0A6D">
        <w:rPr>
          <w:rFonts w:ascii="GHEA Grapalat" w:hAnsi="GHEA Grapalat"/>
          <w:lang w:val="hy-AM"/>
        </w:rPr>
        <w:t xml:space="preserve"> խմբագրությամբ սահմանադրությունը</w:t>
      </w:r>
      <w:r w:rsidRPr="00E321E4">
        <w:rPr>
          <w:rFonts w:ascii="GHEA Grapalat" w:hAnsi="GHEA Grapalat" w:hint="eastAsia"/>
          <w:lang w:val="hy-AM"/>
        </w:rPr>
        <w:t>․</w:t>
      </w:r>
      <w:r w:rsidRPr="000B0A6D">
        <w:rPr>
          <w:rFonts w:ascii="GHEA Grapalat" w:hAnsi="GHEA Grapalat"/>
          <w:lang w:val="hy-AM"/>
        </w:rPr>
        <w:t>-Եր</w:t>
      </w:r>
      <w:r w:rsidRPr="00E321E4">
        <w:rPr>
          <w:rFonts w:ascii="GHEA Grapalat" w:hAnsi="GHEA Grapalat" w:hint="eastAsia"/>
          <w:lang w:val="hy-AM"/>
        </w:rPr>
        <w:t>․</w:t>
      </w:r>
      <w:r w:rsidRPr="000B0A6D">
        <w:rPr>
          <w:rFonts w:ascii="GHEA Grapalat" w:hAnsi="GHEA Grapalat"/>
          <w:lang w:val="hy-AM"/>
        </w:rPr>
        <w:t>։ Տիգրան Մեծ, 2016, էջ 82։</w:t>
      </w:r>
    </w:p>
  </w:footnote>
  <w:footnote w:id="4">
    <w:p w:rsidR="000007BF" w:rsidRPr="00B67066" w:rsidRDefault="000007BF" w:rsidP="00F71F8A">
      <w:pPr>
        <w:pStyle w:val="FootnoteText"/>
        <w:ind w:left="-360" w:right="149"/>
        <w:jc w:val="both"/>
        <w:rPr>
          <w:rFonts w:ascii="GHEA Grapalat" w:hAnsi="GHEA Grapalat"/>
          <w:lang w:val="hy-AM"/>
        </w:rPr>
      </w:pPr>
      <w:r w:rsidRPr="000B0A6D">
        <w:rPr>
          <w:rStyle w:val="FootnoteReference"/>
          <w:rFonts w:ascii="GHEA Grapalat" w:hAnsi="GHEA Grapalat"/>
        </w:rPr>
        <w:footnoteRef/>
      </w:r>
      <w:r w:rsidRPr="000B0A6D">
        <w:rPr>
          <w:rFonts w:ascii="GHEA Grapalat" w:hAnsi="GHEA Grapalat"/>
          <w:lang w:val="hy-AM"/>
        </w:rPr>
        <w:t xml:space="preserve"> </w:t>
      </w:r>
      <w:r w:rsidRPr="00212943">
        <w:rPr>
          <w:rFonts w:ascii="GHEA Grapalat" w:hAnsi="GHEA Grapalat"/>
          <w:color w:val="000000"/>
          <w:sz w:val="22"/>
          <w:szCs w:val="22"/>
          <w:shd w:val="clear" w:color="auto" w:fill="FFFFFF"/>
          <w:lang w:val="hy-AM"/>
        </w:rPr>
        <w:t>Տե՛ս</w:t>
      </w:r>
      <w:r w:rsidRPr="00212943">
        <w:rPr>
          <w:rFonts w:cs="Calibri"/>
          <w:color w:val="000000"/>
          <w:sz w:val="22"/>
          <w:szCs w:val="22"/>
          <w:shd w:val="clear" w:color="auto" w:fill="FFFFFF"/>
          <w:lang w:val="hy-AM"/>
        </w:rPr>
        <w:t> </w:t>
      </w:r>
      <w:r w:rsidRPr="000B0A6D">
        <w:rPr>
          <w:rFonts w:ascii="GHEA Grapalat" w:hAnsi="GHEA Grapalat"/>
          <w:lang w:val="hy-AM"/>
        </w:rPr>
        <w:t xml:space="preserve"> «</w:t>
      </w:r>
      <w:r w:rsidRPr="000B0A6D">
        <w:rPr>
          <w:rFonts w:ascii="GHEA Grapalat" w:hAnsi="GHEA Grapalat" w:cs="Arial"/>
          <w:lang w:val="hy-AM"/>
        </w:rPr>
        <w:t>Սանդի</w:t>
      </w:r>
      <w:r w:rsidRPr="000B0A6D">
        <w:rPr>
          <w:rFonts w:ascii="GHEA Grapalat" w:hAnsi="GHEA Grapalat"/>
          <w:lang w:val="hy-AM"/>
        </w:rPr>
        <w:t xml:space="preserve"> </w:t>
      </w:r>
      <w:r w:rsidRPr="000B0A6D">
        <w:rPr>
          <w:rFonts w:ascii="GHEA Grapalat" w:hAnsi="GHEA Grapalat" w:cs="Arial"/>
          <w:lang w:val="hy-AM"/>
        </w:rPr>
        <w:t>թայմս</w:t>
      </w:r>
      <w:r w:rsidRPr="000B0A6D">
        <w:rPr>
          <w:rFonts w:ascii="GHEA Grapalat" w:hAnsi="GHEA Grapalat"/>
          <w:lang w:val="hy-AM"/>
        </w:rPr>
        <w:t xml:space="preserve">» </w:t>
      </w:r>
      <w:r w:rsidRPr="000B0A6D">
        <w:rPr>
          <w:rFonts w:ascii="GHEA Grapalat" w:hAnsi="GHEA Grapalat" w:cs="Arial"/>
          <w:lang w:val="hy-AM"/>
        </w:rPr>
        <w:t>թերթն</w:t>
      </w:r>
      <w:r w:rsidRPr="00856C9D">
        <w:rPr>
          <w:rFonts w:ascii="GHEA Grapalat" w:hAnsi="GHEA Grapalat" w:cs="Arial"/>
          <w:lang w:val="hy-AM"/>
        </w:rPr>
        <w:t xml:space="preserve"> </w:t>
      </w:r>
      <w:r w:rsidRPr="000B0A6D">
        <w:rPr>
          <w:rFonts w:ascii="GHEA Grapalat" w:hAnsi="GHEA Grapalat" w:cs="Arial"/>
          <w:lang w:val="hy-AM"/>
        </w:rPr>
        <w:t>ընդդեմ</w:t>
      </w:r>
      <w:r w:rsidRPr="00856C9D">
        <w:rPr>
          <w:rFonts w:ascii="GHEA Grapalat" w:hAnsi="GHEA Grapalat" w:cs="Arial"/>
          <w:lang w:val="hy-AM"/>
        </w:rPr>
        <w:t xml:space="preserve"> </w:t>
      </w:r>
      <w:r w:rsidRPr="000B0A6D">
        <w:rPr>
          <w:rFonts w:ascii="GHEA Grapalat" w:hAnsi="GHEA Grapalat" w:cs="Arial"/>
          <w:lang w:val="hy-AM"/>
        </w:rPr>
        <w:t>Միացյալ</w:t>
      </w:r>
      <w:r w:rsidRPr="00856C9D">
        <w:rPr>
          <w:rFonts w:ascii="GHEA Grapalat" w:hAnsi="GHEA Grapalat" w:cs="Arial"/>
          <w:lang w:val="hy-AM"/>
        </w:rPr>
        <w:t xml:space="preserve"> </w:t>
      </w:r>
      <w:r w:rsidRPr="000B0A6D">
        <w:rPr>
          <w:rFonts w:ascii="GHEA Grapalat" w:hAnsi="GHEA Grapalat" w:cs="Arial"/>
          <w:lang w:val="hy-AM"/>
        </w:rPr>
        <w:t>Թագավորության</w:t>
      </w:r>
      <w:r w:rsidRPr="00856C9D">
        <w:rPr>
          <w:rFonts w:ascii="GHEA Grapalat" w:hAnsi="GHEA Grapalat" w:cs="Arial"/>
          <w:lang w:val="hy-AM"/>
        </w:rPr>
        <w:t>» (Sunday Times v. United Kingdom)</w:t>
      </w:r>
      <w:r w:rsidRPr="000B0A6D">
        <w:rPr>
          <w:rFonts w:ascii="GHEA Grapalat" w:hAnsi="GHEA Grapalat" w:cs="Arial"/>
          <w:lang w:val="hy-AM"/>
        </w:rPr>
        <w:t xml:space="preserve"> գործով</w:t>
      </w:r>
      <w:r w:rsidRPr="00856C9D">
        <w:rPr>
          <w:rFonts w:ascii="GHEA Grapalat" w:hAnsi="GHEA Grapalat" w:cs="Arial"/>
          <w:lang w:val="hy-AM"/>
        </w:rPr>
        <w:t xml:space="preserve"> 1979 </w:t>
      </w:r>
      <w:r w:rsidRPr="000B0A6D">
        <w:rPr>
          <w:rFonts w:ascii="GHEA Grapalat" w:hAnsi="GHEA Grapalat" w:cs="Arial"/>
          <w:lang w:val="hy-AM"/>
        </w:rPr>
        <w:t>թ</w:t>
      </w:r>
      <w:r w:rsidRPr="00856C9D">
        <w:rPr>
          <w:rFonts w:ascii="GHEA Grapalat" w:hAnsi="GHEA Grapalat" w:cs="Arial"/>
          <w:lang w:val="hy-AM"/>
        </w:rPr>
        <w:t xml:space="preserve">. </w:t>
      </w:r>
      <w:r w:rsidRPr="000B0A6D">
        <w:rPr>
          <w:rFonts w:ascii="GHEA Grapalat" w:hAnsi="GHEA Grapalat" w:cs="Arial"/>
          <w:lang w:val="hy-AM"/>
        </w:rPr>
        <w:t>ապրիլի</w:t>
      </w:r>
      <w:r w:rsidRPr="00856C9D">
        <w:rPr>
          <w:rFonts w:ascii="GHEA Grapalat" w:hAnsi="GHEA Grapalat" w:cs="Arial"/>
          <w:lang w:val="hy-AM"/>
        </w:rPr>
        <w:t xml:space="preserve"> 26-</w:t>
      </w:r>
      <w:r w:rsidRPr="000B0A6D">
        <w:rPr>
          <w:rFonts w:ascii="GHEA Grapalat" w:hAnsi="GHEA Grapalat" w:cs="Arial"/>
          <w:lang w:val="hy-AM"/>
        </w:rPr>
        <w:t>ի</w:t>
      </w:r>
      <w:r w:rsidRPr="00856C9D">
        <w:rPr>
          <w:rFonts w:ascii="GHEA Grapalat" w:hAnsi="GHEA Grapalat" w:cs="Arial"/>
          <w:lang w:val="hy-AM"/>
        </w:rPr>
        <w:t xml:space="preserve"> </w:t>
      </w:r>
      <w:r w:rsidRPr="000B0A6D">
        <w:rPr>
          <w:rFonts w:ascii="GHEA Grapalat" w:hAnsi="GHEA Grapalat" w:cs="Arial"/>
          <w:lang w:val="hy-AM"/>
        </w:rPr>
        <w:t>վճիռ</w:t>
      </w:r>
      <w:r>
        <w:rPr>
          <w:rFonts w:ascii="GHEA Grapalat" w:hAnsi="GHEA Grapalat" w:cs="Arial"/>
          <w:lang w:val="hy-AM"/>
        </w:rPr>
        <w:t>ը</w:t>
      </w:r>
      <w:r w:rsidRPr="00856C9D">
        <w:rPr>
          <w:rFonts w:ascii="GHEA Grapalat" w:hAnsi="GHEA Grapalat" w:cs="Arial"/>
          <w:lang w:val="hy-AM"/>
        </w:rPr>
        <w:t xml:space="preserve">, գանգատ թիվ </w:t>
      </w:r>
      <w:r w:rsidRPr="00856C9D">
        <w:rPr>
          <w:rFonts w:cs="Calibri"/>
          <w:lang w:val="hy-AM"/>
        </w:rPr>
        <w:t> </w:t>
      </w:r>
      <w:hyperlink r:id="rId4" w:anchor="{%22appno%22:[%226538/74%22]}" w:tgtFrame="_blank" w:history="1">
        <w:r w:rsidRPr="00856C9D">
          <w:rPr>
            <w:rFonts w:ascii="GHEA Grapalat" w:hAnsi="GHEA Grapalat"/>
            <w:lang w:val="hy-AM"/>
          </w:rPr>
          <w:t>6538/74</w:t>
        </w:r>
      </w:hyperlink>
      <w:r>
        <w:rPr>
          <w:rFonts w:ascii="GHEA Grapalat" w:hAnsi="GHEA Grapalat" w:cs="Arial"/>
          <w:lang w:val="hy-AM"/>
        </w:rPr>
        <w:t>, կետ 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B17AE"/>
    <w:multiLevelType w:val="multilevel"/>
    <w:tmpl w:val="439A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17106"/>
    <w:multiLevelType w:val="hybridMultilevel"/>
    <w:tmpl w:val="EEAE2FAC"/>
    <w:lvl w:ilvl="0" w:tplc="51CC50C0">
      <w:start w:val="1"/>
      <w:numFmt w:val="decimal"/>
      <w:lvlText w:val="%1."/>
      <w:lvlJc w:val="left"/>
      <w:pPr>
        <w:ind w:left="1080" w:hanging="360"/>
      </w:pPr>
      <w:rPr>
        <w:rFonts w:ascii="GHEA Grapalat" w:hAnsi="GHEA Grapalat"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1E5011"/>
    <w:multiLevelType w:val="hybridMultilevel"/>
    <w:tmpl w:val="B75CC6B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72087951"/>
    <w:multiLevelType w:val="multilevel"/>
    <w:tmpl w:val="F3A6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8C"/>
    <w:rsid w:val="000007BF"/>
    <w:rsid w:val="004D54CA"/>
    <w:rsid w:val="00510A5C"/>
    <w:rsid w:val="006336C5"/>
    <w:rsid w:val="00891C6A"/>
    <w:rsid w:val="009C168C"/>
    <w:rsid w:val="00AD6B2F"/>
    <w:rsid w:val="00E63C6D"/>
    <w:rsid w:val="00EF707F"/>
    <w:rsid w:val="00F7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A5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FOOTNOTES,ft"/>
    <w:basedOn w:val="Normal"/>
    <w:link w:val="FootnoteTextChar"/>
    <w:uiPriority w:val="99"/>
    <w:unhideWhenUsed/>
    <w:rsid w:val="000007BF"/>
    <w:pPr>
      <w:spacing w:after="0" w:line="240" w:lineRule="auto"/>
    </w:pPr>
    <w:rPr>
      <w:rFonts w:ascii="Calibri" w:eastAsia="Calibri" w:hAnsi="Calibri" w:cs="Times New Roman"/>
      <w:sz w:val="20"/>
      <w:szCs w:val="20"/>
      <w:lang w:val="ru-RU"/>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0007BF"/>
    <w:rPr>
      <w:rFonts w:ascii="Calibri" w:eastAsia="Calibri" w:hAnsi="Calibri" w:cs="Times New Roman"/>
      <w:sz w:val="20"/>
      <w:szCs w:val="20"/>
      <w:lang w:val="ru-RU"/>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0007BF"/>
    <w:rPr>
      <w:vertAlign w:val="superscript"/>
    </w:rPr>
  </w:style>
  <w:style w:type="paragraph" w:styleId="ListParagraph">
    <w:name w:val="List Paragraph"/>
    <w:aliases w:val="Akapit z listą BS,List Paragraph 1,List_Paragraph,Multilevel para_II,List Paragraph (numbered (a)),OBC Bullet,List Paragraph11,Normal numbered,List Paragraph1,Bullet1,Bullets,References,IBL List Paragraph,List Paragraph nowy,Resume Title"/>
    <w:basedOn w:val="Normal"/>
    <w:link w:val="ListParagraphChar"/>
    <w:uiPriority w:val="34"/>
    <w:qFormat/>
    <w:rsid w:val="000007BF"/>
    <w:pPr>
      <w:spacing w:line="256" w:lineRule="auto"/>
      <w:ind w:left="720"/>
      <w:contextualSpacing/>
    </w:pPr>
  </w:style>
  <w:style w:type="character" w:styleId="Hyperlink">
    <w:name w:val="Hyperlink"/>
    <w:basedOn w:val="DefaultParagraphFont"/>
    <w:uiPriority w:val="99"/>
    <w:unhideWhenUsed/>
    <w:rsid w:val="000007BF"/>
    <w:rPr>
      <w:color w:val="0563C1" w:themeColor="hyperlink"/>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0007BF"/>
    <w:pPr>
      <w:spacing w:line="240" w:lineRule="exact"/>
      <w:jc w:val="both"/>
    </w:pPr>
    <w:rPr>
      <w:vertAlign w:val="superscript"/>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1 Char,Bullets Char"/>
    <w:link w:val="ListParagraph"/>
    <w:uiPriority w:val="34"/>
    <w:locked/>
    <w:rsid w:val="0000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A5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FOOTNOTES,ft"/>
    <w:basedOn w:val="Normal"/>
    <w:link w:val="FootnoteTextChar"/>
    <w:uiPriority w:val="99"/>
    <w:unhideWhenUsed/>
    <w:rsid w:val="000007BF"/>
    <w:pPr>
      <w:spacing w:after="0" w:line="240" w:lineRule="auto"/>
    </w:pPr>
    <w:rPr>
      <w:rFonts w:ascii="Calibri" w:eastAsia="Calibri" w:hAnsi="Calibri" w:cs="Times New Roman"/>
      <w:sz w:val="20"/>
      <w:szCs w:val="20"/>
      <w:lang w:val="ru-RU"/>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0007BF"/>
    <w:rPr>
      <w:rFonts w:ascii="Calibri" w:eastAsia="Calibri" w:hAnsi="Calibri" w:cs="Times New Roman"/>
      <w:sz w:val="20"/>
      <w:szCs w:val="20"/>
      <w:lang w:val="ru-RU"/>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0007BF"/>
    <w:rPr>
      <w:vertAlign w:val="superscript"/>
    </w:rPr>
  </w:style>
  <w:style w:type="paragraph" w:styleId="ListParagraph">
    <w:name w:val="List Paragraph"/>
    <w:aliases w:val="Akapit z listą BS,List Paragraph 1,List_Paragraph,Multilevel para_II,List Paragraph (numbered (a)),OBC Bullet,List Paragraph11,Normal numbered,List Paragraph1,Bullet1,Bullets,References,IBL List Paragraph,List Paragraph nowy,Resume Title"/>
    <w:basedOn w:val="Normal"/>
    <w:link w:val="ListParagraphChar"/>
    <w:uiPriority w:val="34"/>
    <w:qFormat/>
    <w:rsid w:val="000007BF"/>
    <w:pPr>
      <w:spacing w:line="256" w:lineRule="auto"/>
      <w:ind w:left="720"/>
      <w:contextualSpacing/>
    </w:pPr>
  </w:style>
  <w:style w:type="character" w:styleId="Hyperlink">
    <w:name w:val="Hyperlink"/>
    <w:basedOn w:val="DefaultParagraphFont"/>
    <w:uiPriority w:val="99"/>
    <w:unhideWhenUsed/>
    <w:rsid w:val="000007BF"/>
    <w:rPr>
      <w:color w:val="0563C1" w:themeColor="hyperlink"/>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0007BF"/>
    <w:pPr>
      <w:spacing w:line="240" w:lineRule="exact"/>
      <w:jc w:val="both"/>
    </w:pPr>
    <w:rPr>
      <w:vertAlign w:val="superscript"/>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1 Char,Bullets Char"/>
    <w:link w:val="ListParagraph"/>
    <w:uiPriority w:val="34"/>
    <w:locked/>
    <w:rsid w:val="0000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eng" TargetMode="External"/><Relationship Id="rId2" Type="http://schemas.openxmlformats.org/officeDocument/2006/relationships/hyperlink" Target="http://hudoc.echr.coe.int/eng" TargetMode="External"/><Relationship Id="rId1" Type="http://schemas.openxmlformats.org/officeDocument/2006/relationships/hyperlink" Target="http://www.parliament.am/drafts.php?sel=showdraft&amp;DraftID=2968&amp;Reading=0" TargetMode="External"/><Relationship Id="rId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Levon Sargsyan</dc:creator>
  <cp:lastModifiedBy>Naira</cp:lastModifiedBy>
  <cp:revision>2</cp:revision>
  <dcterms:created xsi:type="dcterms:W3CDTF">2019-11-05T07:49:00Z</dcterms:created>
  <dcterms:modified xsi:type="dcterms:W3CDTF">2019-11-05T07:49:00Z</dcterms:modified>
</cp:coreProperties>
</file>