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0B" w:rsidRPr="00C1029D" w:rsidRDefault="002D0F0B" w:rsidP="0016755D">
      <w:pPr>
        <w:spacing w:after="0" w:line="360" w:lineRule="auto"/>
        <w:ind w:left="-187" w:right="-331"/>
        <w:jc w:val="right"/>
        <w:rPr>
          <w:rFonts w:ascii="GHEA Grapalat" w:eastAsia="Tahoma" w:hAnsi="GHEA Grapalat" w:cs="Tahoma"/>
          <w:color w:val="000000"/>
          <w:sz w:val="24"/>
          <w:szCs w:val="24"/>
        </w:rPr>
      </w:pPr>
      <w:r w:rsidRPr="00C1029D">
        <w:rPr>
          <w:rFonts w:ascii="GHEA Grapalat" w:eastAsia="Tahoma" w:hAnsi="GHEA Grapalat" w:cs="Tahoma"/>
          <w:color w:val="000000"/>
          <w:sz w:val="24"/>
          <w:szCs w:val="24"/>
        </w:rPr>
        <w:t>ՆԱԽԱԳԻԾ</w:t>
      </w:r>
    </w:p>
    <w:p w:rsidR="0016755D" w:rsidRPr="003046BB" w:rsidRDefault="0016755D" w:rsidP="0016755D">
      <w:pPr>
        <w:spacing w:after="0" w:line="360" w:lineRule="auto"/>
        <w:ind w:left="-187" w:right="-331"/>
        <w:jc w:val="right"/>
        <w:rPr>
          <w:rFonts w:ascii="GHEA Grapalat" w:eastAsia="Merriweather" w:hAnsi="GHEA Grapalat" w:cs="Merriweather"/>
          <w:b/>
          <w:color w:val="000000"/>
          <w:sz w:val="24"/>
          <w:szCs w:val="24"/>
          <w:u w:val="single"/>
        </w:rPr>
      </w:pPr>
    </w:p>
    <w:p w:rsidR="002D0F0B" w:rsidRPr="00390ECD" w:rsidRDefault="002D0F0B" w:rsidP="0016755D">
      <w:pPr>
        <w:spacing w:after="0" w:line="360" w:lineRule="auto"/>
        <w:ind w:left="-187" w:right="-331"/>
        <w:jc w:val="center"/>
        <w:rPr>
          <w:rFonts w:ascii="GHEA Grapalat" w:eastAsia="Tahoma" w:hAnsi="GHEA Grapalat" w:cs="Tahoma"/>
          <w:b/>
          <w:color w:val="000000"/>
          <w:sz w:val="24"/>
          <w:szCs w:val="24"/>
          <w:lang w:val="hy-AM"/>
        </w:rPr>
      </w:pPr>
      <w:bookmarkStart w:id="0" w:name="_GoBack"/>
      <w:r w:rsidRPr="003046BB">
        <w:rPr>
          <w:rFonts w:ascii="GHEA Grapalat" w:eastAsia="Tahoma" w:hAnsi="GHEA Grapalat" w:cs="Tahoma"/>
          <w:b/>
          <w:color w:val="000000"/>
          <w:sz w:val="24"/>
          <w:szCs w:val="24"/>
        </w:rPr>
        <w:t>ՀԱՅԱՍՏԱՆԻ ՀԱՆՐԱՊԵՏՈՒԹՅԱՆ ՕՐԵՆՔ</w:t>
      </w:r>
      <w:r w:rsidR="00390ECD">
        <w:rPr>
          <w:rFonts w:ascii="GHEA Grapalat" w:eastAsia="Tahoma" w:hAnsi="GHEA Grapalat" w:cs="Tahoma"/>
          <w:b/>
          <w:color w:val="000000"/>
          <w:sz w:val="24"/>
          <w:szCs w:val="24"/>
          <w:lang w:val="hy-AM"/>
        </w:rPr>
        <w:t>Ը</w:t>
      </w:r>
    </w:p>
    <w:p w:rsidR="00DF078F" w:rsidRPr="00390ECD" w:rsidRDefault="002D0F0B" w:rsidP="0016755D">
      <w:pPr>
        <w:spacing w:after="0" w:line="360" w:lineRule="auto"/>
        <w:ind w:left="-187" w:right="-331"/>
        <w:jc w:val="center"/>
        <w:rPr>
          <w:rFonts w:ascii="GHEA Grapalat" w:eastAsia="Tahoma" w:hAnsi="GHEA Grapalat" w:cs="Tahoma"/>
          <w:b/>
          <w:color w:val="000000"/>
          <w:sz w:val="24"/>
          <w:szCs w:val="24"/>
          <w:lang w:val="hy-AM"/>
        </w:rPr>
      </w:pPr>
      <w:r w:rsidRPr="003046BB">
        <w:rPr>
          <w:rFonts w:ascii="GHEA Grapalat" w:eastAsia="Tahoma" w:hAnsi="GHEA Grapalat" w:cs="Tahoma"/>
          <w:b/>
          <w:color w:val="000000"/>
          <w:sz w:val="24"/>
          <w:szCs w:val="24"/>
        </w:rPr>
        <w:t xml:space="preserve"> </w:t>
      </w:r>
      <w:r w:rsidR="00DF078F" w:rsidRPr="003046BB">
        <w:rPr>
          <w:rFonts w:ascii="GHEA Grapalat" w:eastAsia="Tahoma" w:hAnsi="GHEA Grapalat" w:cs="Tahoma"/>
          <w:b/>
          <w:color w:val="000000"/>
          <w:sz w:val="24"/>
          <w:szCs w:val="24"/>
        </w:rPr>
        <w:t>«</w:t>
      </w:r>
      <w:r w:rsidR="006B78A0" w:rsidRPr="003046BB">
        <w:rPr>
          <w:rFonts w:ascii="GHEA Grapalat" w:eastAsia="Tahoma" w:hAnsi="GHEA Grapalat" w:cs="Tahoma"/>
          <w:b/>
          <w:color w:val="000000"/>
          <w:sz w:val="24"/>
          <w:szCs w:val="24"/>
        </w:rPr>
        <w:t>ՏՆՏԵՍԱԿԱՆ ՄՐՑԱԿՑՈՒԹՅԱՆ ՊԱՇՏՊԱՆՈՒԹՅԱՆ</w:t>
      </w:r>
      <w:r w:rsidR="001B58A4">
        <w:rPr>
          <w:rFonts w:ascii="GHEA Grapalat" w:eastAsia="Tahoma" w:hAnsi="GHEA Grapalat" w:cs="Tahoma"/>
          <w:b/>
          <w:color w:val="000000"/>
          <w:sz w:val="24"/>
          <w:szCs w:val="24"/>
        </w:rPr>
        <w:t xml:space="preserve"> </w:t>
      </w:r>
      <w:r w:rsidR="008262A7">
        <w:rPr>
          <w:rFonts w:ascii="GHEA Grapalat" w:eastAsia="Tahoma" w:hAnsi="GHEA Grapalat" w:cs="Tahoma"/>
          <w:b/>
          <w:color w:val="000000"/>
          <w:sz w:val="24"/>
          <w:szCs w:val="24"/>
          <w:lang w:val="hy-AM"/>
        </w:rPr>
        <w:t>ՄԱՍԻՆ</w:t>
      </w:r>
      <w:r w:rsidR="001B58A4">
        <w:rPr>
          <w:rFonts w:ascii="GHEA Grapalat" w:eastAsia="Tahoma" w:hAnsi="GHEA Grapalat" w:cs="Tahoma"/>
          <w:b/>
          <w:color w:val="000000"/>
          <w:sz w:val="24"/>
          <w:szCs w:val="24"/>
        </w:rPr>
        <w:t>»</w:t>
      </w:r>
      <w:r w:rsidR="00DF078F" w:rsidRPr="003046BB">
        <w:rPr>
          <w:rFonts w:ascii="GHEA Grapalat" w:eastAsia="Tahoma" w:hAnsi="GHEA Grapalat" w:cs="Tahoma"/>
          <w:b/>
          <w:color w:val="000000"/>
          <w:sz w:val="24"/>
          <w:szCs w:val="24"/>
        </w:rPr>
        <w:t xml:space="preserve"> ՀԱՅԱՍՏԱՆԻ ՀԱՆՐԱՊԵՏՈՒԹՅԱՆ ՕՐԵՆՔՈՒՄ ԼՐԱՑՈՒՄՆԵՐ ԿԱՏԱՐԵԼՈՒ ՄԱՍԻՆ</w:t>
      </w:r>
      <w:r w:rsidR="00390ECD">
        <w:rPr>
          <w:rFonts w:ascii="GHEA Grapalat" w:eastAsia="Tahoma" w:hAnsi="GHEA Grapalat" w:cs="Tahoma"/>
          <w:b/>
          <w:color w:val="000000"/>
          <w:sz w:val="24"/>
          <w:szCs w:val="24"/>
          <w:lang w:val="hy-AM"/>
        </w:rPr>
        <w:t>»</w:t>
      </w:r>
    </w:p>
    <w:bookmarkEnd w:id="0"/>
    <w:p w:rsidR="00E71FF1" w:rsidRPr="003046BB" w:rsidRDefault="00E71FF1" w:rsidP="006F7A7E">
      <w:pPr>
        <w:spacing w:line="360" w:lineRule="auto"/>
        <w:ind w:left="-180" w:right="-334"/>
        <w:jc w:val="center"/>
        <w:rPr>
          <w:rFonts w:ascii="GHEA Grapalat" w:hAnsi="GHEA Grapalat"/>
          <w:sz w:val="24"/>
          <w:szCs w:val="24"/>
        </w:rPr>
      </w:pPr>
    </w:p>
    <w:p w:rsidR="00801857" w:rsidRPr="003046BB" w:rsidRDefault="00CD14D4" w:rsidP="006F7A7E">
      <w:pPr>
        <w:spacing w:after="0" w:line="360" w:lineRule="auto"/>
        <w:ind w:left="-180" w:right="-334" w:firstLine="720"/>
        <w:jc w:val="both"/>
        <w:rPr>
          <w:rFonts w:ascii="GHEA Grapalat" w:eastAsia="Times New Roman" w:hAnsi="GHEA Grapalat" w:cs="Times New Roman"/>
          <w:sz w:val="24"/>
          <w:szCs w:val="24"/>
          <w:lang w:val="en-US"/>
        </w:rPr>
      </w:pPr>
      <w:proofErr w:type="spellStart"/>
      <w:r w:rsidRPr="003046BB">
        <w:rPr>
          <w:rFonts w:ascii="GHEA Grapalat" w:eastAsia="Times New Roman" w:hAnsi="GHEA Grapalat" w:cs="Times New Roman"/>
          <w:b/>
          <w:sz w:val="24"/>
          <w:szCs w:val="24"/>
        </w:rPr>
        <w:t>Հոդված</w:t>
      </w:r>
      <w:proofErr w:type="spellEnd"/>
      <w:r w:rsidRPr="003046BB">
        <w:rPr>
          <w:rFonts w:ascii="GHEA Grapalat" w:eastAsia="Times New Roman" w:hAnsi="GHEA Grapalat" w:cs="Times New Roman"/>
          <w:b/>
          <w:sz w:val="24"/>
          <w:szCs w:val="24"/>
        </w:rPr>
        <w:t xml:space="preserve"> </w:t>
      </w:r>
      <w:r w:rsidRPr="003046BB">
        <w:rPr>
          <w:rFonts w:ascii="GHEA Grapalat" w:eastAsia="Times New Roman" w:hAnsi="GHEA Grapalat" w:cs="Times New Roman"/>
          <w:b/>
          <w:sz w:val="24"/>
          <w:szCs w:val="24"/>
          <w:lang w:val="hy-AM"/>
        </w:rPr>
        <w:t>1</w:t>
      </w:r>
      <w:r w:rsidRPr="003046BB">
        <w:rPr>
          <w:rFonts w:ascii="GHEA Grapalat" w:eastAsia="Times New Roman" w:hAnsi="GHEA Grapalat" w:cs="Times New Roman"/>
          <w:b/>
          <w:sz w:val="24"/>
          <w:szCs w:val="24"/>
        </w:rPr>
        <w:t xml:space="preserve">. </w:t>
      </w:r>
      <w:r w:rsidRPr="003046BB">
        <w:rPr>
          <w:rFonts w:ascii="GHEA Grapalat" w:hAnsi="GHEA Grapalat"/>
          <w:sz w:val="24"/>
          <w:szCs w:val="24"/>
          <w:lang w:val="hy-AM"/>
        </w:rPr>
        <w:t>«</w:t>
      </w:r>
      <w:r w:rsidR="00E9111E" w:rsidRPr="003046BB">
        <w:rPr>
          <w:rFonts w:ascii="GHEA Grapalat" w:hAnsi="GHEA Grapalat" w:cs="Arial"/>
          <w:color w:val="000000"/>
          <w:sz w:val="24"/>
          <w:szCs w:val="24"/>
          <w:shd w:val="clear" w:color="auto" w:fill="FFFFFF"/>
          <w:lang w:val="hy-AM"/>
        </w:rPr>
        <w:t>Տնտեսական մրցակցության պաշտպանության մասին</w:t>
      </w:r>
      <w:r w:rsidRPr="003046BB">
        <w:rPr>
          <w:rFonts w:ascii="GHEA Grapalat" w:hAnsi="GHEA Grapalat"/>
          <w:sz w:val="24"/>
          <w:szCs w:val="24"/>
          <w:lang w:val="hy-AM"/>
        </w:rPr>
        <w:t>»</w:t>
      </w:r>
      <w:r w:rsidRPr="003046BB">
        <w:rPr>
          <w:rFonts w:ascii="GHEA Grapalat" w:hAnsi="GHEA Grapalat" w:cs="GHEA Grapalat"/>
          <w:sz w:val="24"/>
          <w:szCs w:val="24"/>
          <w:lang w:val="hy-AM"/>
        </w:rPr>
        <w:t xml:space="preserve"> </w:t>
      </w:r>
      <w:proofErr w:type="spellStart"/>
      <w:r w:rsidRPr="003046BB">
        <w:rPr>
          <w:rFonts w:ascii="GHEA Grapalat" w:eastAsia="Times New Roman" w:hAnsi="GHEA Grapalat" w:cs="Times New Roman"/>
          <w:sz w:val="24"/>
          <w:szCs w:val="24"/>
        </w:rPr>
        <w:t>Հայաստանի</w:t>
      </w:r>
      <w:proofErr w:type="spellEnd"/>
      <w:r w:rsidRPr="003046BB">
        <w:rPr>
          <w:rFonts w:ascii="GHEA Grapalat" w:eastAsia="Times New Roman" w:hAnsi="GHEA Grapalat" w:cs="Times New Roman"/>
          <w:sz w:val="24"/>
          <w:szCs w:val="24"/>
        </w:rPr>
        <w:t xml:space="preserve"> </w:t>
      </w:r>
      <w:r w:rsidRPr="003046BB">
        <w:rPr>
          <w:rFonts w:ascii="GHEA Grapalat" w:hAnsi="GHEA Grapalat" w:cs="Arial"/>
          <w:color w:val="000000"/>
          <w:sz w:val="24"/>
          <w:szCs w:val="24"/>
          <w:shd w:val="clear" w:color="auto" w:fill="FFFFFF"/>
          <w:lang w:val="hy-AM"/>
        </w:rPr>
        <w:t xml:space="preserve">Հանրապետության </w:t>
      </w:r>
      <w:r w:rsidR="00867C47" w:rsidRPr="003046BB">
        <w:rPr>
          <w:rFonts w:ascii="GHEA Grapalat" w:hAnsi="GHEA Grapalat" w:cs="Arial"/>
          <w:color w:val="000000"/>
          <w:sz w:val="24"/>
          <w:szCs w:val="24"/>
          <w:shd w:val="clear" w:color="auto" w:fill="FFFFFF"/>
          <w:lang w:val="hy-AM"/>
        </w:rPr>
        <w:t>2000</w:t>
      </w:r>
      <w:r w:rsidRPr="003046BB">
        <w:rPr>
          <w:rFonts w:ascii="GHEA Grapalat" w:hAnsi="GHEA Grapalat" w:cs="Arial"/>
          <w:color w:val="000000"/>
          <w:sz w:val="24"/>
          <w:szCs w:val="24"/>
          <w:shd w:val="clear" w:color="auto" w:fill="FFFFFF"/>
          <w:lang w:val="hy-AM"/>
        </w:rPr>
        <w:t xml:space="preserve"> թվականի </w:t>
      </w:r>
      <w:r w:rsidR="00867C47" w:rsidRPr="003046BB">
        <w:rPr>
          <w:rFonts w:ascii="GHEA Grapalat" w:hAnsi="GHEA Grapalat" w:cs="Arial"/>
          <w:color w:val="000000"/>
          <w:sz w:val="24"/>
          <w:szCs w:val="24"/>
          <w:shd w:val="clear" w:color="auto" w:fill="FFFFFF"/>
          <w:lang w:val="hy-AM"/>
        </w:rPr>
        <w:t>նոյեմբերի</w:t>
      </w:r>
      <w:r w:rsidRPr="003046BB">
        <w:rPr>
          <w:rFonts w:ascii="GHEA Grapalat" w:hAnsi="GHEA Grapalat" w:cs="Arial"/>
          <w:color w:val="000000"/>
          <w:sz w:val="24"/>
          <w:szCs w:val="24"/>
          <w:shd w:val="clear" w:color="auto" w:fill="FFFFFF"/>
          <w:lang w:val="hy-AM"/>
        </w:rPr>
        <w:t xml:space="preserve"> </w:t>
      </w:r>
      <w:r w:rsidR="00867C47" w:rsidRPr="003046BB">
        <w:rPr>
          <w:rFonts w:ascii="GHEA Grapalat" w:hAnsi="GHEA Grapalat" w:cs="Arial"/>
          <w:color w:val="000000"/>
          <w:sz w:val="24"/>
          <w:szCs w:val="24"/>
          <w:shd w:val="clear" w:color="auto" w:fill="FFFFFF"/>
          <w:lang w:val="hy-AM"/>
        </w:rPr>
        <w:t>11</w:t>
      </w:r>
      <w:r w:rsidRPr="003046BB">
        <w:rPr>
          <w:rFonts w:ascii="GHEA Grapalat" w:hAnsi="GHEA Grapalat" w:cs="Arial"/>
          <w:color w:val="000000"/>
          <w:sz w:val="24"/>
          <w:szCs w:val="24"/>
          <w:shd w:val="clear" w:color="auto" w:fill="FFFFFF"/>
          <w:lang w:val="hy-AM"/>
        </w:rPr>
        <w:t>-ի № ՀՕ-</w:t>
      </w:r>
      <w:r w:rsidR="00867C47" w:rsidRPr="003046BB">
        <w:rPr>
          <w:rFonts w:ascii="GHEA Grapalat" w:hAnsi="GHEA Grapalat" w:cs="Arial"/>
          <w:color w:val="000000"/>
          <w:sz w:val="24"/>
          <w:szCs w:val="24"/>
          <w:shd w:val="clear" w:color="auto" w:fill="FFFFFF"/>
          <w:lang w:val="hy-AM"/>
        </w:rPr>
        <w:t>112</w:t>
      </w:r>
      <w:r w:rsidRPr="003046BB">
        <w:rPr>
          <w:rFonts w:ascii="GHEA Grapalat" w:hAnsi="GHEA Grapalat" w:cs="Arial"/>
          <w:color w:val="000000"/>
          <w:sz w:val="24"/>
          <w:szCs w:val="24"/>
          <w:shd w:val="clear" w:color="auto" w:fill="FFFFFF"/>
          <w:lang w:val="hy-AM"/>
        </w:rPr>
        <w:t xml:space="preserve"> օրենքի</w:t>
      </w:r>
      <w:r w:rsidR="00927707" w:rsidRPr="003046BB">
        <w:rPr>
          <w:rFonts w:ascii="GHEA Grapalat" w:hAnsi="GHEA Grapalat" w:cs="Arial"/>
          <w:color w:val="000000"/>
          <w:sz w:val="24"/>
          <w:szCs w:val="24"/>
          <w:shd w:val="clear" w:color="auto" w:fill="FFFFFF"/>
          <w:lang w:val="hy-AM"/>
        </w:rPr>
        <w:t xml:space="preserve"> (այսուհետ՝ Օրենք)</w:t>
      </w:r>
      <w:r w:rsidRPr="003046BB">
        <w:rPr>
          <w:rFonts w:ascii="GHEA Grapalat" w:hAnsi="GHEA Grapalat" w:cs="Arial"/>
          <w:color w:val="000000"/>
          <w:sz w:val="24"/>
          <w:szCs w:val="24"/>
          <w:shd w:val="clear" w:color="auto" w:fill="FFFFFF"/>
          <w:lang w:val="hy-AM"/>
        </w:rPr>
        <w:t xml:space="preserve"> </w:t>
      </w:r>
      <w:r w:rsidR="00927707" w:rsidRPr="003046BB">
        <w:rPr>
          <w:rFonts w:ascii="GHEA Grapalat" w:hAnsi="GHEA Grapalat" w:cs="Arial"/>
          <w:color w:val="000000"/>
          <w:sz w:val="24"/>
          <w:szCs w:val="24"/>
          <w:shd w:val="clear" w:color="auto" w:fill="FFFFFF"/>
          <w:lang w:val="hy-AM"/>
        </w:rPr>
        <w:t xml:space="preserve">4-րդ հոդվածի </w:t>
      </w:r>
      <w:r w:rsidR="00763BC0" w:rsidRPr="003046BB">
        <w:rPr>
          <w:rFonts w:ascii="GHEA Grapalat" w:hAnsi="GHEA Grapalat" w:cs="Arial"/>
          <w:color w:val="000000"/>
          <w:sz w:val="24"/>
          <w:szCs w:val="24"/>
          <w:shd w:val="clear" w:color="auto" w:fill="FFFFFF"/>
          <w:lang w:val="hy-AM"/>
        </w:rPr>
        <w:t>1</w:t>
      </w:r>
      <w:r w:rsidR="00927707" w:rsidRPr="003046BB">
        <w:rPr>
          <w:rFonts w:ascii="GHEA Grapalat" w:hAnsi="GHEA Grapalat" w:cs="Arial"/>
          <w:color w:val="000000"/>
          <w:sz w:val="24"/>
          <w:szCs w:val="24"/>
          <w:shd w:val="clear" w:color="auto" w:fill="FFFFFF"/>
          <w:lang w:val="hy-AM"/>
        </w:rPr>
        <w:t>-</w:t>
      </w:r>
      <w:r w:rsidR="00763BC0" w:rsidRPr="003046BB">
        <w:rPr>
          <w:rFonts w:ascii="GHEA Grapalat" w:hAnsi="GHEA Grapalat" w:cs="Arial"/>
          <w:color w:val="000000"/>
          <w:sz w:val="24"/>
          <w:szCs w:val="24"/>
          <w:shd w:val="clear" w:color="auto" w:fill="FFFFFF"/>
          <w:lang w:val="hy-AM"/>
        </w:rPr>
        <w:t>ին</w:t>
      </w:r>
      <w:r w:rsidR="00A22F0C" w:rsidRPr="003046BB">
        <w:rPr>
          <w:rFonts w:ascii="GHEA Grapalat" w:hAnsi="GHEA Grapalat" w:cs="Arial"/>
          <w:color w:val="000000"/>
          <w:sz w:val="24"/>
          <w:szCs w:val="24"/>
          <w:shd w:val="clear" w:color="auto" w:fill="FFFFFF"/>
          <w:lang w:val="hy-AM"/>
        </w:rPr>
        <w:t xml:space="preserve"> մասի 1-ին </w:t>
      </w:r>
      <w:r w:rsidR="00A22F0C" w:rsidRPr="003046BB">
        <w:rPr>
          <w:rFonts w:ascii="GHEA Grapalat" w:hAnsi="GHEA Grapalat"/>
          <w:sz w:val="24"/>
          <w:szCs w:val="24"/>
          <w:lang w:val="hy-AM"/>
        </w:rPr>
        <w:t>«</w:t>
      </w:r>
      <w:r w:rsidR="00EA0510" w:rsidRPr="003046BB">
        <w:rPr>
          <w:rFonts w:ascii="GHEA Grapalat" w:hAnsi="GHEA Grapalat"/>
          <w:sz w:val="24"/>
          <w:szCs w:val="24"/>
          <w:lang w:val="hy-AM"/>
        </w:rPr>
        <w:t>սպառողի համեմատությամբ</w:t>
      </w:r>
      <w:r w:rsidR="00EA0510" w:rsidRPr="003046BB">
        <w:rPr>
          <w:rFonts w:ascii="GHEA Grapalat" w:hAnsi="GHEA Grapalat"/>
          <w:sz w:val="24"/>
          <w:szCs w:val="24"/>
          <w:lang w:val="en-US"/>
        </w:rPr>
        <w:t>.</w:t>
      </w:r>
      <w:r w:rsidR="00A22F0C" w:rsidRPr="003046BB">
        <w:rPr>
          <w:rFonts w:ascii="GHEA Grapalat" w:hAnsi="GHEA Grapalat"/>
          <w:sz w:val="24"/>
          <w:szCs w:val="24"/>
          <w:lang w:val="hy-AM"/>
        </w:rPr>
        <w:t>» բառ</w:t>
      </w:r>
      <w:r w:rsidR="00EA0510" w:rsidRPr="003046BB">
        <w:rPr>
          <w:rFonts w:ascii="GHEA Grapalat" w:hAnsi="GHEA Grapalat"/>
          <w:sz w:val="24"/>
          <w:szCs w:val="24"/>
          <w:lang w:val="hy-AM"/>
        </w:rPr>
        <w:t>եր</w:t>
      </w:r>
      <w:r w:rsidR="00A22F0C" w:rsidRPr="003046BB">
        <w:rPr>
          <w:rFonts w:ascii="GHEA Grapalat" w:hAnsi="GHEA Grapalat"/>
          <w:sz w:val="24"/>
          <w:szCs w:val="24"/>
          <w:lang w:val="hy-AM"/>
        </w:rPr>
        <w:t xml:space="preserve">ից հետո լրացնել </w:t>
      </w:r>
      <w:r w:rsidR="00801857" w:rsidRPr="003046BB">
        <w:rPr>
          <w:rFonts w:ascii="GHEA Grapalat" w:eastAsia="Times New Roman" w:hAnsi="GHEA Grapalat" w:cs="Times New Roman"/>
          <w:sz w:val="24"/>
          <w:szCs w:val="24"/>
          <w:lang w:val="hy-AM"/>
        </w:rPr>
        <w:t>հետևյալ բովանդակությամբ</w:t>
      </w:r>
      <w:r w:rsidR="00EA0510" w:rsidRPr="003046BB">
        <w:rPr>
          <w:rFonts w:ascii="GHEA Grapalat" w:eastAsia="Times New Roman" w:hAnsi="GHEA Grapalat" w:cs="Times New Roman"/>
          <w:sz w:val="24"/>
          <w:szCs w:val="24"/>
          <w:lang w:val="hy-AM"/>
        </w:rPr>
        <w:t xml:space="preserve"> պարբերություն</w:t>
      </w:r>
      <w:r w:rsidR="00801857" w:rsidRPr="003046BB">
        <w:rPr>
          <w:rFonts w:ascii="GHEA Grapalat" w:eastAsia="Times New Roman" w:hAnsi="GHEA Grapalat" w:cs="Times New Roman"/>
          <w:sz w:val="24"/>
          <w:szCs w:val="24"/>
          <w:lang w:val="en-US"/>
        </w:rPr>
        <w:t>.</w:t>
      </w:r>
    </w:p>
    <w:p w:rsidR="004B3F29" w:rsidRDefault="008262A7" w:rsidP="006F7A7E">
      <w:pPr>
        <w:spacing w:after="0" w:line="360" w:lineRule="auto"/>
        <w:ind w:left="-180" w:right="-334"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w:t>
      </w:r>
      <w:r w:rsidR="00FD133F" w:rsidRPr="003046BB">
        <w:rPr>
          <w:rFonts w:ascii="GHEA Grapalat" w:eastAsia="Times New Roman" w:hAnsi="GHEA Grapalat" w:cs="Times New Roman"/>
          <w:sz w:val="24"/>
          <w:szCs w:val="24"/>
          <w:lang w:val="hy-AM"/>
        </w:rPr>
        <w:t>հակամենաշնորհային կոմպլեանս (</w:t>
      </w:r>
      <w:r w:rsidR="00FD133F" w:rsidRPr="003046BB">
        <w:rPr>
          <w:rFonts w:ascii="GHEA Grapalat" w:eastAsia="Times New Roman" w:hAnsi="GHEA Grapalat" w:cs="Times New Roman"/>
          <w:sz w:val="24"/>
          <w:szCs w:val="24"/>
          <w:lang w:val="en-US"/>
        </w:rPr>
        <w:t>h</w:t>
      </w:r>
      <w:r w:rsidR="00FD133F" w:rsidRPr="003046BB">
        <w:rPr>
          <w:rFonts w:ascii="GHEA Grapalat" w:eastAsia="Times New Roman" w:hAnsi="GHEA Grapalat" w:cs="Times New Roman"/>
          <w:sz w:val="24"/>
          <w:szCs w:val="24"/>
          <w:lang w:val="hy-AM"/>
        </w:rPr>
        <w:t>ակամենաշնորհային օրենսդրության պահանջներին համապատասխանության ներքին ապահովման համակարգ)</w:t>
      </w:r>
      <w:r w:rsidR="00FD133F" w:rsidRPr="003046BB">
        <w:rPr>
          <w:rFonts w:ascii="GHEA Grapalat" w:eastAsia="Times New Roman" w:hAnsi="GHEA Grapalat" w:cs="Times New Roman"/>
          <w:sz w:val="24"/>
          <w:szCs w:val="24"/>
          <w:lang w:val="en-US"/>
        </w:rPr>
        <w:t xml:space="preserve">` </w:t>
      </w:r>
      <w:r w:rsidR="002C313B" w:rsidRPr="003046BB">
        <w:rPr>
          <w:rFonts w:ascii="GHEA Grapalat" w:eastAsia="Times New Roman" w:hAnsi="GHEA Grapalat" w:cs="Times New Roman"/>
          <w:sz w:val="24"/>
          <w:szCs w:val="24"/>
          <w:lang w:val="en-US"/>
        </w:rPr>
        <w:t xml:space="preserve"> </w:t>
      </w:r>
      <w:r w:rsidR="003F6441" w:rsidRPr="003046BB">
        <w:rPr>
          <w:rFonts w:ascii="GHEA Grapalat" w:eastAsia="Times New Roman" w:hAnsi="GHEA Grapalat" w:cs="Times New Roman"/>
          <w:sz w:val="24"/>
          <w:szCs w:val="24"/>
          <w:lang w:val="hy-AM"/>
        </w:rPr>
        <w:t xml:space="preserve">տնտեսվարող սուբյեկտի </w:t>
      </w:r>
      <w:r w:rsidR="00885A65" w:rsidRPr="003046BB">
        <w:rPr>
          <w:rFonts w:ascii="GHEA Grapalat" w:eastAsia="Times New Roman" w:hAnsi="GHEA Grapalat" w:cs="Times New Roman"/>
          <w:sz w:val="24"/>
          <w:szCs w:val="24"/>
          <w:lang w:val="hy-AM"/>
        </w:rPr>
        <w:t xml:space="preserve">կամ </w:t>
      </w:r>
      <w:r w:rsidR="007C79F3" w:rsidRPr="003046BB">
        <w:rPr>
          <w:rFonts w:ascii="GHEA Grapalat" w:eastAsia="Times New Roman" w:hAnsi="GHEA Grapalat" w:cs="Times New Roman"/>
          <w:sz w:val="24"/>
          <w:szCs w:val="24"/>
          <w:lang w:val="hy-AM"/>
        </w:rPr>
        <w:t xml:space="preserve">տվյալ տնտեսվարող սուբյեկտի հետ միասին մեկ խմբի մեջ մտնող անձանց </w:t>
      </w:r>
      <w:r w:rsidR="00C60AC6" w:rsidRPr="003046BB">
        <w:rPr>
          <w:rFonts w:ascii="GHEA Grapalat" w:eastAsia="Times New Roman" w:hAnsi="GHEA Grapalat" w:cs="Times New Roman"/>
          <w:sz w:val="24"/>
          <w:szCs w:val="24"/>
          <w:lang w:val="hy-AM"/>
        </w:rPr>
        <w:t>ներքին ակտով (ակտերով)</w:t>
      </w:r>
      <w:r w:rsidR="0032229E" w:rsidRPr="003046BB">
        <w:rPr>
          <w:rFonts w:ascii="GHEA Grapalat" w:eastAsia="Times New Roman" w:hAnsi="GHEA Grapalat" w:cs="Times New Roman"/>
          <w:sz w:val="24"/>
          <w:szCs w:val="24"/>
          <w:lang w:val="en-US"/>
        </w:rPr>
        <w:t xml:space="preserve">, </w:t>
      </w:r>
      <w:r w:rsidR="0032229E" w:rsidRPr="003046BB">
        <w:rPr>
          <w:rFonts w:ascii="GHEA Grapalat" w:eastAsia="Times New Roman" w:hAnsi="GHEA Grapalat" w:cs="Times New Roman"/>
          <w:sz w:val="24"/>
          <w:szCs w:val="24"/>
          <w:lang w:val="hy-AM"/>
        </w:rPr>
        <w:t>եթե տվյալ ներքին ակտերը տարածվում են այդ տնտեսվարող սուբյեկտի վրա</w:t>
      </w:r>
      <w:r w:rsidR="0032229E" w:rsidRPr="003046BB">
        <w:rPr>
          <w:rFonts w:ascii="GHEA Grapalat" w:eastAsia="Times New Roman" w:hAnsi="GHEA Grapalat" w:cs="Times New Roman"/>
          <w:sz w:val="24"/>
          <w:szCs w:val="24"/>
          <w:lang w:val="en-US"/>
        </w:rPr>
        <w:t>,</w:t>
      </w:r>
      <w:r w:rsidR="00C60AC6" w:rsidRPr="003046BB">
        <w:rPr>
          <w:rFonts w:ascii="GHEA Grapalat" w:eastAsia="Times New Roman" w:hAnsi="GHEA Grapalat" w:cs="Times New Roman"/>
          <w:sz w:val="24"/>
          <w:szCs w:val="24"/>
          <w:lang w:val="hy-AM"/>
        </w:rPr>
        <w:t xml:space="preserve"> նախատեսված կազմակերպչական և իրավական միջոցառումների ամբողջություն, որոնք ուղղված են հակամենաշնորհային օրենսդրության պահանջների պահպանմ</w:t>
      </w:r>
      <w:r w:rsidR="001008EE" w:rsidRPr="003046BB">
        <w:rPr>
          <w:rFonts w:ascii="GHEA Grapalat" w:eastAsia="Times New Roman" w:hAnsi="GHEA Grapalat" w:cs="Times New Roman"/>
          <w:sz w:val="24"/>
          <w:szCs w:val="24"/>
          <w:lang w:val="hy-AM"/>
        </w:rPr>
        <w:t>անը և խախտումների կանխարգելմանը</w:t>
      </w:r>
      <w:r w:rsidR="001008EE" w:rsidRPr="003046BB">
        <w:rPr>
          <w:rFonts w:ascii="GHEA Grapalat" w:eastAsia="Times New Roman" w:hAnsi="GHEA Grapalat" w:cs="Times New Roman"/>
          <w:sz w:val="24"/>
          <w:szCs w:val="24"/>
          <w:lang w:val="en-US"/>
        </w:rPr>
        <w:t>.</w:t>
      </w:r>
      <w:r>
        <w:rPr>
          <w:rFonts w:ascii="GHEA Grapalat" w:eastAsia="Times New Roman" w:hAnsi="GHEA Grapalat" w:cs="Times New Roman"/>
          <w:sz w:val="24"/>
          <w:szCs w:val="24"/>
          <w:lang w:val="hy-AM"/>
        </w:rPr>
        <w:t>»:</w:t>
      </w:r>
    </w:p>
    <w:p w:rsidR="008262A7" w:rsidRPr="008262A7" w:rsidRDefault="008262A7" w:rsidP="006F7A7E">
      <w:pPr>
        <w:spacing w:after="0" w:line="360" w:lineRule="auto"/>
        <w:ind w:left="-180" w:right="-334" w:firstLine="720"/>
        <w:jc w:val="both"/>
        <w:rPr>
          <w:rFonts w:ascii="GHEA Grapalat" w:eastAsia="Times New Roman" w:hAnsi="GHEA Grapalat" w:cs="Times New Roman"/>
          <w:sz w:val="24"/>
          <w:szCs w:val="24"/>
          <w:lang w:val="hy-AM"/>
        </w:rPr>
      </w:pPr>
    </w:p>
    <w:p w:rsidR="00210994" w:rsidRDefault="00927707"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b/>
          <w:sz w:val="24"/>
          <w:szCs w:val="24"/>
          <w:lang w:val="hy-AM"/>
        </w:rPr>
        <w:t>Հոդված 2.</w:t>
      </w:r>
      <w:r w:rsidR="004E2885" w:rsidRPr="003046BB">
        <w:rPr>
          <w:rFonts w:ascii="GHEA Grapalat" w:eastAsia="Times New Roman" w:hAnsi="GHEA Grapalat" w:cs="Times New Roman"/>
          <w:b/>
          <w:sz w:val="24"/>
          <w:szCs w:val="24"/>
          <w:lang w:val="hy-AM"/>
        </w:rPr>
        <w:t xml:space="preserve"> </w:t>
      </w:r>
      <w:r w:rsidR="004E2885" w:rsidRPr="003046BB">
        <w:rPr>
          <w:rFonts w:ascii="GHEA Grapalat" w:eastAsia="Times New Roman" w:hAnsi="GHEA Grapalat" w:cs="Times New Roman"/>
          <w:sz w:val="24"/>
          <w:szCs w:val="24"/>
          <w:lang w:val="hy-AM"/>
        </w:rPr>
        <w:t>Օրենք</w:t>
      </w:r>
      <w:r w:rsidR="008262A7">
        <w:rPr>
          <w:rFonts w:ascii="GHEA Grapalat" w:eastAsia="Times New Roman" w:hAnsi="GHEA Grapalat" w:cs="Times New Roman"/>
          <w:sz w:val="24"/>
          <w:szCs w:val="24"/>
          <w:lang w:val="hy-AM"/>
        </w:rPr>
        <w:t>ը լրաց</w:t>
      </w:r>
      <w:r w:rsidR="00250288" w:rsidRPr="003046BB">
        <w:rPr>
          <w:rFonts w:ascii="GHEA Grapalat" w:eastAsia="Times New Roman" w:hAnsi="GHEA Grapalat" w:cs="Times New Roman"/>
          <w:sz w:val="24"/>
          <w:szCs w:val="24"/>
          <w:lang w:val="hy-AM"/>
        </w:rPr>
        <w:t>նել հետևյալ բովանդակությամբ</w:t>
      </w:r>
      <w:r w:rsidR="008262A7">
        <w:rPr>
          <w:rFonts w:ascii="GHEA Grapalat" w:eastAsia="Times New Roman" w:hAnsi="GHEA Grapalat" w:cs="Times New Roman"/>
          <w:sz w:val="24"/>
          <w:szCs w:val="24"/>
          <w:lang w:val="hy-AM"/>
        </w:rPr>
        <w:t xml:space="preserve"> </w:t>
      </w:r>
      <w:r w:rsidR="008262A7" w:rsidRPr="003046BB">
        <w:rPr>
          <w:rFonts w:ascii="GHEA Grapalat" w:eastAsia="Times New Roman" w:hAnsi="GHEA Grapalat" w:cs="Times New Roman"/>
          <w:sz w:val="24"/>
          <w:szCs w:val="24"/>
          <w:lang w:val="hy-AM"/>
        </w:rPr>
        <w:t>5</w:t>
      </w:r>
      <w:r w:rsidR="008262A7" w:rsidRPr="008262A7">
        <w:rPr>
          <w:rFonts w:ascii="GHEA Grapalat" w:eastAsia="Times New Roman" w:hAnsi="GHEA Grapalat" w:cs="Times New Roman"/>
          <w:sz w:val="24"/>
          <w:szCs w:val="24"/>
          <w:vertAlign w:val="superscript"/>
          <w:lang w:val="hy-AM"/>
        </w:rPr>
        <w:t>2</w:t>
      </w:r>
      <w:r w:rsidR="008262A7" w:rsidRPr="003046BB">
        <w:rPr>
          <w:rFonts w:ascii="GHEA Grapalat" w:eastAsia="Times New Roman" w:hAnsi="GHEA Grapalat" w:cs="Times New Roman"/>
          <w:sz w:val="24"/>
          <w:szCs w:val="24"/>
          <w:vertAlign w:val="superscript"/>
          <w:lang w:val="hy-AM"/>
        </w:rPr>
        <w:t xml:space="preserve"> </w:t>
      </w:r>
      <w:r w:rsidR="008262A7">
        <w:rPr>
          <w:rFonts w:ascii="GHEA Grapalat" w:eastAsia="Times New Roman" w:hAnsi="GHEA Grapalat" w:cs="Times New Roman"/>
          <w:sz w:val="24"/>
          <w:szCs w:val="24"/>
          <w:lang w:val="hy-AM"/>
        </w:rPr>
        <w:t>գլխով</w:t>
      </w:r>
      <w:r w:rsidR="00250288" w:rsidRPr="003046BB">
        <w:rPr>
          <w:rFonts w:ascii="GHEA Grapalat" w:eastAsia="Times New Roman" w:hAnsi="GHEA Grapalat" w:cs="Times New Roman"/>
          <w:sz w:val="24"/>
          <w:szCs w:val="24"/>
          <w:lang w:val="hy-AM"/>
        </w:rPr>
        <w:t>.</w:t>
      </w:r>
    </w:p>
    <w:p w:rsidR="001B58A4" w:rsidRPr="003046BB" w:rsidRDefault="001B58A4" w:rsidP="006F7A7E">
      <w:pPr>
        <w:spacing w:after="0" w:line="360" w:lineRule="auto"/>
        <w:ind w:left="-180" w:right="-334" w:firstLine="720"/>
        <w:jc w:val="both"/>
        <w:rPr>
          <w:rFonts w:ascii="GHEA Grapalat" w:eastAsia="Times New Roman" w:hAnsi="GHEA Grapalat" w:cs="Times New Roman"/>
          <w:sz w:val="24"/>
          <w:szCs w:val="24"/>
          <w:lang w:val="hy-AM"/>
        </w:rPr>
      </w:pPr>
    </w:p>
    <w:p w:rsidR="008262A7" w:rsidRDefault="008262A7" w:rsidP="006F7A7E">
      <w:pPr>
        <w:spacing w:after="0" w:line="360" w:lineRule="auto"/>
        <w:ind w:left="-180" w:right="-334" w:firstLine="720"/>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 xml:space="preserve">«ԳԼՈՒԽ </w:t>
      </w:r>
      <w:r w:rsidRPr="008262A7">
        <w:rPr>
          <w:rFonts w:ascii="GHEA Grapalat" w:eastAsia="Times New Roman" w:hAnsi="GHEA Grapalat" w:cs="Times New Roman"/>
          <w:b/>
          <w:sz w:val="24"/>
          <w:szCs w:val="24"/>
          <w:lang w:val="hy-AM"/>
        </w:rPr>
        <w:t>5</w:t>
      </w:r>
      <w:r w:rsidRPr="008262A7">
        <w:rPr>
          <w:rFonts w:ascii="GHEA Grapalat" w:eastAsia="Times New Roman" w:hAnsi="GHEA Grapalat" w:cs="Times New Roman"/>
          <w:b/>
          <w:sz w:val="24"/>
          <w:szCs w:val="24"/>
          <w:vertAlign w:val="superscript"/>
          <w:lang w:val="hy-AM"/>
        </w:rPr>
        <w:t>2</w:t>
      </w:r>
      <w:r>
        <w:rPr>
          <w:rFonts w:ascii="GHEA Grapalat" w:eastAsia="Times New Roman" w:hAnsi="GHEA Grapalat" w:cs="Times New Roman"/>
          <w:b/>
          <w:sz w:val="24"/>
          <w:szCs w:val="24"/>
          <w:lang w:val="hy-AM"/>
        </w:rPr>
        <w:t xml:space="preserve"> </w:t>
      </w:r>
    </w:p>
    <w:p w:rsidR="00C60AC6" w:rsidRPr="003046BB" w:rsidRDefault="00250288" w:rsidP="006F7A7E">
      <w:pPr>
        <w:spacing w:after="0" w:line="360" w:lineRule="auto"/>
        <w:ind w:left="-180" w:right="-334" w:firstLine="720"/>
        <w:jc w:val="center"/>
        <w:rPr>
          <w:rFonts w:ascii="GHEA Grapalat" w:eastAsia="Times New Roman" w:hAnsi="GHEA Grapalat" w:cs="Times New Roman"/>
          <w:b/>
          <w:sz w:val="24"/>
          <w:szCs w:val="24"/>
          <w:lang w:val="hy-AM"/>
        </w:rPr>
      </w:pPr>
      <w:r w:rsidRPr="003046BB">
        <w:rPr>
          <w:rFonts w:ascii="GHEA Grapalat" w:eastAsia="Times New Roman" w:hAnsi="GHEA Grapalat" w:cs="Times New Roman"/>
          <w:b/>
          <w:sz w:val="24"/>
          <w:szCs w:val="24"/>
          <w:lang w:val="hy-AM"/>
        </w:rPr>
        <w:t>ՀԱԿԱՄԵՆԱՇՆՈՐՀԱՅԻՆ ԿՈՄՊԼԵԱՆՍ</w:t>
      </w:r>
    </w:p>
    <w:p w:rsidR="0062293E" w:rsidRPr="003046BB" w:rsidRDefault="0062293E" w:rsidP="006F7A7E">
      <w:pPr>
        <w:spacing w:after="0" w:line="360" w:lineRule="auto"/>
        <w:ind w:left="-180" w:right="-334" w:firstLine="720"/>
        <w:jc w:val="both"/>
        <w:rPr>
          <w:rFonts w:ascii="GHEA Grapalat" w:eastAsia="Times New Roman" w:hAnsi="GHEA Grapalat" w:cs="Times New Roman"/>
          <w:b/>
          <w:sz w:val="24"/>
          <w:szCs w:val="24"/>
          <w:lang w:val="hy-AM"/>
        </w:rPr>
      </w:pPr>
      <w:r w:rsidRPr="003046BB">
        <w:rPr>
          <w:rFonts w:ascii="GHEA Grapalat" w:eastAsia="Times New Roman" w:hAnsi="GHEA Grapalat" w:cs="Times New Roman"/>
          <w:sz w:val="24"/>
          <w:szCs w:val="24"/>
          <w:lang w:val="hy-AM"/>
        </w:rPr>
        <w:t>Հոդված 16</w:t>
      </w:r>
      <w:r w:rsidR="008262A7">
        <w:rPr>
          <w:rFonts w:ascii="GHEA Grapalat" w:eastAsia="Times New Roman" w:hAnsi="GHEA Grapalat" w:cs="Times New Roman"/>
          <w:sz w:val="24"/>
          <w:szCs w:val="24"/>
          <w:vertAlign w:val="superscript"/>
          <w:lang w:val="hy-AM"/>
        </w:rPr>
        <w:t>4</w:t>
      </w:r>
      <w:r w:rsidR="008262A7">
        <w:rPr>
          <w:rFonts w:ascii="GHEA Grapalat" w:eastAsia="Times New Roman" w:hAnsi="GHEA Grapalat" w:cs="Times New Roman"/>
          <w:sz w:val="24"/>
          <w:szCs w:val="24"/>
          <w:lang w:val="hy-AM"/>
        </w:rPr>
        <w:t>.</w:t>
      </w:r>
      <w:r w:rsidRPr="003046BB">
        <w:rPr>
          <w:rFonts w:ascii="GHEA Grapalat" w:eastAsia="Times New Roman" w:hAnsi="GHEA Grapalat" w:cs="Times New Roman"/>
          <w:sz w:val="24"/>
          <w:szCs w:val="24"/>
          <w:vertAlign w:val="superscript"/>
          <w:lang w:val="hy-AM"/>
        </w:rPr>
        <w:t xml:space="preserve"> </w:t>
      </w:r>
      <w:r w:rsidR="00987995" w:rsidRPr="003046BB">
        <w:rPr>
          <w:rFonts w:ascii="GHEA Grapalat" w:eastAsia="Times New Roman" w:hAnsi="GHEA Grapalat" w:cs="Times New Roman"/>
          <w:sz w:val="24"/>
          <w:szCs w:val="24"/>
          <w:lang w:val="hy-AM"/>
        </w:rPr>
        <w:t>Հ</w:t>
      </w:r>
      <w:r w:rsidRPr="003046BB">
        <w:rPr>
          <w:rFonts w:ascii="GHEA Grapalat" w:eastAsia="Times New Roman" w:hAnsi="GHEA Grapalat" w:cs="Times New Roman"/>
          <w:sz w:val="24"/>
          <w:szCs w:val="24"/>
          <w:lang w:val="hy-AM"/>
        </w:rPr>
        <w:t>ակամենաշնորհային կոմպլեանս</w:t>
      </w:r>
    </w:p>
    <w:p w:rsidR="00C60AC6" w:rsidRPr="003046BB" w:rsidRDefault="00C60AC6" w:rsidP="006F7A7E">
      <w:pPr>
        <w:pStyle w:val="ListParagraph"/>
        <w:numPr>
          <w:ilvl w:val="0"/>
          <w:numId w:val="8"/>
        </w:num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Հակամենաշնորհային օրենսդրության պահպանման և խախտումների կանխարգելման նպատակով տնտեսվարող սուբյեկտն իրավունք ունի կազմակերպել հակամենաշնորհային օրենսդրության պահանջներին համապատասխանության ներքին ապահովման համակարգ (հակամենաշնորհային կոմպլեանս)։</w:t>
      </w:r>
    </w:p>
    <w:p w:rsidR="00C60AC6" w:rsidRPr="003046BB" w:rsidRDefault="00291CDF" w:rsidP="006F7A7E">
      <w:pPr>
        <w:pStyle w:val="ListParagraph"/>
        <w:numPr>
          <w:ilvl w:val="0"/>
          <w:numId w:val="8"/>
        </w:num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lastRenderedPageBreak/>
        <w:t>Հակամենաշնորհային օրենսդրության պահանջներին համապատասխանության ներքին ապահովման համակարգի կազմակերպման համար տնտեսվարող սուբյեկտ</w:t>
      </w:r>
      <w:r w:rsidR="002A7D85" w:rsidRPr="003046BB">
        <w:rPr>
          <w:rFonts w:ascii="GHEA Grapalat" w:eastAsia="Times New Roman" w:hAnsi="GHEA Grapalat" w:cs="Times New Roman"/>
          <w:sz w:val="24"/>
          <w:szCs w:val="24"/>
          <w:lang w:val="hy-AM"/>
        </w:rPr>
        <w:t>ը կամ</w:t>
      </w:r>
      <w:r w:rsidRPr="003046BB">
        <w:rPr>
          <w:rFonts w:ascii="GHEA Grapalat" w:eastAsia="Times New Roman" w:hAnsi="GHEA Grapalat" w:cs="Times New Roman"/>
          <w:sz w:val="24"/>
          <w:szCs w:val="24"/>
          <w:lang w:val="hy-AM"/>
        </w:rPr>
        <w:t xml:space="preserve"> </w:t>
      </w:r>
      <w:r w:rsidR="002A7D85" w:rsidRPr="003046BB">
        <w:rPr>
          <w:rFonts w:ascii="GHEA Grapalat" w:eastAsia="Times New Roman" w:hAnsi="GHEA Grapalat" w:cs="Times New Roman"/>
          <w:sz w:val="24"/>
          <w:szCs w:val="24"/>
          <w:lang w:val="hy-AM"/>
        </w:rPr>
        <w:t>տնտեսվարող սուբյեկտի հետ միասին մեկ խմբի մեջ մտնող անձ</w:t>
      </w:r>
      <w:r w:rsidR="00A24CFF" w:rsidRPr="003046BB">
        <w:rPr>
          <w:rFonts w:ascii="GHEA Grapalat" w:eastAsia="Times New Roman" w:hAnsi="GHEA Grapalat" w:cs="Times New Roman"/>
          <w:sz w:val="24"/>
          <w:szCs w:val="24"/>
          <w:lang w:val="hy-AM"/>
        </w:rPr>
        <w:t>անց</w:t>
      </w:r>
      <w:r w:rsidR="002A7D85" w:rsidRPr="003046BB">
        <w:rPr>
          <w:rFonts w:ascii="GHEA Grapalat" w:eastAsia="Times New Roman" w:hAnsi="GHEA Grapalat" w:cs="Times New Roman"/>
          <w:sz w:val="24"/>
          <w:szCs w:val="24"/>
          <w:lang w:val="hy-AM"/>
        </w:rPr>
        <w:t xml:space="preserve"> </w:t>
      </w:r>
      <w:r w:rsidRPr="003046BB">
        <w:rPr>
          <w:rFonts w:ascii="GHEA Grapalat" w:eastAsia="Times New Roman" w:hAnsi="GHEA Grapalat" w:cs="Times New Roman"/>
          <w:sz w:val="24"/>
          <w:szCs w:val="24"/>
          <w:lang w:val="hy-AM"/>
        </w:rPr>
        <w:t>ընդուն</w:t>
      </w:r>
      <w:r w:rsidR="00A24CFF" w:rsidRPr="003046BB">
        <w:rPr>
          <w:rFonts w:ascii="GHEA Grapalat" w:eastAsia="Times New Roman" w:hAnsi="GHEA Grapalat" w:cs="Times New Roman"/>
          <w:sz w:val="24"/>
          <w:szCs w:val="24"/>
          <w:lang w:val="hy-AM"/>
        </w:rPr>
        <w:t>վ</w:t>
      </w:r>
      <w:r w:rsidRPr="003046BB">
        <w:rPr>
          <w:rFonts w:ascii="GHEA Grapalat" w:eastAsia="Times New Roman" w:hAnsi="GHEA Grapalat" w:cs="Times New Roman"/>
          <w:sz w:val="24"/>
          <w:szCs w:val="24"/>
          <w:lang w:val="hy-AM"/>
        </w:rPr>
        <w:t>ո</w:t>
      </w:r>
      <w:r w:rsidR="00A24CFF" w:rsidRPr="003046BB">
        <w:rPr>
          <w:rFonts w:ascii="GHEA Grapalat" w:eastAsia="Times New Roman" w:hAnsi="GHEA Grapalat" w:cs="Times New Roman"/>
          <w:sz w:val="24"/>
          <w:szCs w:val="24"/>
          <w:lang w:val="hy-AM"/>
        </w:rPr>
        <w:t>ղ</w:t>
      </w:r>
      <w:r w:rsidRPr="003046BB">
        <w:rPr>
          <w:rFonts w:ascii="GHEA Grapalat" w:eastAsia="Times New Roman" w:hAnsi="GHEA Grapalat" w:cs="Times New Roman"/>
          <w:sz w:val="24"/>
          <w:szCs w:val="24"/>
          <w:lang w:val="hy-AM"/>
        </w:rPr>
        <w:t xml:space="preserve"> ներքին ակտ</w:t>
      </w:r>
      <w:r w:rsidR="00A24CFF" w:rsidRPr="003046BB">
        <w:rPr>
          <w:rFonts w:ascii="GHEA Grapalat" w:eastAsia="Times New Roman" w:hAnsi="GHEA Grapalat" w:cs="Times New Roman"/>
          <w:sz w:val="24"/>
          <w:szCs w:val="24"/>
          <w:lang w:val="hy-AM"/>
        </w:rPr>
        <w:t>ը</w:t>
      </w:r>
      <w:r w:rsidRPr="003046BB">
        <w:rPr>
          <w:rFonts w:ascii="GHEA Grapalat" w:eastAsia="Times New Roman" w:hAnsi="GHEA Grapalat" w:cs="Times New Roman"/>
          <w:sz w:val="24"/>
          <w:szCs w:val="24"/>
          <w:lang w:val="hy-AM"/>
        </w:rPr>
        <w:t xml:space="preserve"> (ակտեր</w:t>
      </w:r>
      <w:r w:rsidR="00A24CFF" w:rsidRPr="003046BB">
        <w:rPr>
          <w:rFonts w:ascii="GHEA Grapalat" w:eastAsia="Times New Roman" w:hAnsi="GHEA Grapalat" w:cs="Times New Roman"/>
          <w:sz w:val="24"/>
          <w:szCs w:val="24"/>
          <w:lang w:val="hy-AM"/>
        </w:rPr>
        <w:t>ը</w:t>
      </w:r>
      <w:r w:rsidRPr="003046BB">
        <w:rPr>
          <w:rFonts w:ascii="GHEA Grapalat" w:eastAsia="Times New Roman" w:hAnsi="GHEA Grapalat" w:cs="Times New Roman"/>
          <w:sz w:val="24"/>
          <w:szCs w:val="24"/>
          <w:lang w:val="hy-AM"/>
        </w:rPr>
        <w:t xml:space="preserve">) </w:t>
      </w:r>
      <w:r w:rsidR="005B5588" w:rsidRPr="003046BB">
        <w:rPr>
          <w:rFonts w:ascii="GHEA Grapalat" w:eastAsia="Times New Roman" w:hAnsi="GHEA Grapalat" w:cs="Times New Roman"/>
          <w:sz w:val="24"/>
          <w:szCs w:val="24"/>
          <w:lang w:val="hy-AM"/>
        </w:rPr>
        <w:t>պետք է պարունակեն.</w:t>
      </w:r>
    </w:p>
    <w:p w:rsidR="005B5588" w:rsidRPr="003046BB" w:rsidRDefault="00024CAC"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1)</w:t>
      </w:r>
      <w:r w:rsidR="0016755D" w:rsidRPr="003046BB">
        <w:rPr>
          <w:rFonts w:ascii="GHEA Grapalat" w:eastAsia="Times New Roman" w:hAnsi="GHEA Grapalat" w:cs="Times New Roman"/>
          <w:sz w:val="24"/>
          <w:szCs w:val="24"/>
          <w:lang w:val="hy-AM"/>
        </w:rPr>
        <w:t xml:space="preserve"> </w:t>
      </w:r>
      <w:r w:rsidRPr="003046BB">
        <w:rPr>
          <w:rFonts w:ascii="GHEA Grapalat" w:eastAsia="Times New Roman" w:hAnsi="GHEA Grapalat" w:cs="Times New Roman"/>
          <w:sz w:val="24"/>
          <w:szCs w:val="24"/>
          <w:lang w:val="hy-AM"/>
        </w:rPr>
        <w:t xml:space="preserve">տնտեսվարող սուբյեկտի </w:t>
      </w:r>
      <w:r w:rsidR="009A67C3" w:rsidRPr="003046BB">
        <w:rPr>
          <w:rFonts w:ascii="GHEA Grapalat" w:eastAsia="Times New Roman" w:hAnsi="GHEA Grapalat" w:cs="Times New Roman"/>
          <w:sz w:val="24"/>
          <w:szCs w:val="24"/>
          <w:lang w:val="hy-AM"/>
        </w:rPr>
        <w:t>գործունեության իրականացման հետ կապված հակամենաշնորհային օրենսդրության խախտման</w:t>
      </w:r>
      <w:r w:rsidR="00C23093" w:rsidRPr="003046BB">
        <w:rPr>
          <w:rFonts w:ascii="GHEA Grapalat" w:eastAsia="Times New Roman" w:hAnsi="GHEA Grapalat" w:cs="Times New Roman"/>
          <w:sz w:val="24"/>
          <w:szCs w:val="24"/>
          <w:lang w:val="hy-AM"/>
        </w:rPr>
        <w:t xml:space="preserve"> </w:t>
      </w:r>
      <w:r w:rsidR="00DA64F3" w:rsidRPr="003046BB">
        <w:rPr>
          <w:rFonts w:ascii="GHEA Grapalat" w:eastAsia="Times New Roman" w:hAnsi="GHEA Grapalat" w:cs="Times New Roman"/>
          <w:sz w:val="24"/>
          <w:szCs w:val="24"/>
          <w:lang w:val="hy-AM"/>
        </w:rPr>
        <w:t>ռիսկերի գնահատման իրականացման կարգի պահանջներ</w:t>
      </w:r>
      <w:r w:rsidR="003F269F" w:rsidRPr="003046BB">
        <w:rPr>
          <w:rFonts w:ascii="GHEA Grapalat" w:eastAsia="Times New Roman" w:hAnsi="GHEA Grapalat" w:cs="Times New Roman"/>
          <w:sz w:val="24"/>
          <w:szCs w:val="24"/>
          <w:lang w:val="hy-AM"/>
        </w:rPr>
        <w:t>,</w:t>
      </w:r>
    </w:p>
    <w:p w:rsidR="00C60AC6" w:rsidRPr="003046BB" w:rsidRDefault="00613E66"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2)</w:t>
      </w:r>
      <w:r w:rsidR="00256BD6" w:rsidRPr="003046BB">
        <w:rPr>
          <w:rFonts w:ascii="GHEA Grapalat" w:eastAsia="Times New Roman" w:hAnsi="GHEA Grapalat" w:cs="Times New Roman"/>
          <w:sz w:val="24"/>
          <w:szCs w:val="24"/>
          <w:lang w:val="hy-AM"/>
        </w:rPr>
        <w:t xml:space="preserve"> տնտեսվարող սուբյեկտի կողմից իր գործունեության իրականացման հետ կապված հակամենաշնորհային օրենսդրության խախտման ռիսկերի</w:t>
      </w:r>
      <w:r w:rsidR="002C68E0" w:rsidRPr="003046BB">
        <w:rPr>
          <w:rFonts w:ascii="GHEA Grapalat" w:eastAsia="Times New Roman" w:hAnsi="GHEA Grapalat" w:cs="Times New Roman"/>
          <w:sz w:val="24"/>
          <w:szCs w:val="24"/>
          <w:lang w:val="hy-AM"/>
        </w:rPr>
        <w:t xml:space="preserve"> նվազեցմանն ուղղված միջոցառումներ</w:t>
      </w:r>
      <w:r w:rsidR="003F269F" w:rsidRPr="003046BB">
        <w:rPr>
          <w:rFonts w:ascii="GHEA Grapalat" w:eastAsia="Times New Roman" w:hAnsi="GHEA Grapalat" w:cs="Times New Roman"/>
          <w:sz w:val="24"/>
          <w:szCs w:val="24"/>
          <w:lang w:val="hy-AM"/>
        </w:rPr>
        <w:t>,</w:t>
      </w:r>
    </w:p>
    <w:p w:rsidR="00F37C16" w:rsidRPr="003046BB" w:rsidRDefault="00F37C16"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 xml:space="preserve">3) </w:t>
      </w:r>
      <w:r w:rsidR="0016473A" w:rsidRPr="003046BB">
        <w:rPr>
          <w:rFonts w:ascii="GHEA Grapalat" w:eastAsia="Times New Roman" w:hAnsi="GHEA Grapalat" w:cs="Times New Roman"/>
          <w:sz w:val="24"/>
          <w:szCs w:val="24"/>
          <w:lang w:val="hy-AM"/>
        </w:rPr>
        <w:t xml:space="preserve">տնտեսվարող սուբյեկտի կողմից </w:t>
      </w:r>
      <w:r w:rsidRPr="003046BB">
        <w:rPr>
          <w:rFonts w:ascii="GHEA Grapalat" w:eastAsia="Times New Roman" w:hAnsi="GHEA Grapalat" w:cs="Times New Roman"/>
          <w:sz w:val="24"/>
          <w:szCs w:val="24"/>
          <w:lang w:val="hy-AM"/>
        </w:rPr>
        <w:t>հակամենաշնորհային կոմպլեանսի կիրարկման նկատմամբ հսկողության իրականացմանն ուղղված միջոցառումներ</w:t>
      </w:r>
      <w:r w:rsidR="003F269F" w:rsidRPr="003046BB">
        <w:rPr>
          <w:rFonts w:ascii="GHEA Grapalat" w:eastAsia="Times New Roman" w:hAnsi="GHEA Grapalat" w:cs="Times New Roman"/>
          <w:sz w:val="24"/>
          <w:szCs w:val="24"/>
          <w:lang w:val="hy-AM"/>
        </w:rPr>
        <w:t>,</w:t>
      </w:r>
    </w:p>
    <w:p w:rsidR="00C60AC6" w:rsidRPr="003046BB" w:rsidRDefault="009522D8"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4)</w:t>
      </w:r>
      <w:r w:rsidR="00FC54D2" w:rsidRPr="003046BB">
        <w:rPr>
          <w:rFonts w:ascii="GHEA Grapalat" w:eastAsia="Times New Roman" w:hAnsi="GHEA Grapalat" w:cs="Times New Roman"/>
          <w:sz w:val="24"/>
          <w:szCs w:val="24"/>
          <w:lang w:val="hy-AM"/>
        </w:rPr>
        <w:t xml:space="preserve"> տվյալ իրավական ակտին (ակտերին) և (կամ) </w:t>
      </w:r>
      <w:r w:rsidR="00B37009" w:rsidRPr="003046BB">
        <w:rPr>
          <w:rFonts w:ascii="GHEA Grapalat" w:eastAsia="Times New Roman" w:hAnsi="GHEA Grapalat" w:cs="Times New Roman"/>
          <w:sz w:val="24"/>
          <w:szCs w:val="24"/>
          <w:lang w:val="hy-AM"/>
        </w:rPr>
        <w:t xml:space="preserve">տվյալ փաստաթղթերին (ներքին քաղաքականություն, կանոնակարգ) </w:t>
      </w:r>
      <w:r w:rsidR="00FC54D2" w:rsidRPr="003046BB">
        <w:rPr>
          <w:rFonts w:ascii="GHEA Grapalat" w:eastAsia="Times New Roman" w:hAnsi="GHEA Grapalat" w:cs="Times New Roman"/>
          <w:sz w:val="24"/>
          <w:szCs w:val="24"/>
          <w:lang w:val="hy-AM"/>
        </w:rPr>
        <w:t>տնտեսվարող սուբյեկտի աշխատակիցների</w:t>
      </w:r>
      <w:r w:rsidR="00A8685C" w:rsidRPr="003046BB">
        <w:rPr>
          <w:rFonts w:ascii="GHEA Grapalat" w:eastAsia="Times New Roman" w:hAnsi="GHEA Grapalat" w:cs="Times New Roman"/>
          <w:sz w:val="24"/>
          <w:szCs w:val="24"/>
          <w:lang w:val="hy-AM"/>
        </w:rPr>
        <w:t xml:space="preserve">ն </w:t>
      </w:r>
      <w:r w:rsidR="00457ACF" w:rsidRPr="003046BB">
        <w:rPr>
          <w:rFonts w:ascii="GHEA Grapalat" w:eastAsia="Times New Roman" w:hAnsi="GHEA Grapalat" w:cs="Times New Roman"/>
          <w:sz w:val="24"/>
          <w:szCs w:val="24"/>
          <w:lang w:val="hy-AM"/>
        </w:rPr>
        <w:t>ծանոթացնելու կարգ</w:t>
      </w:r>
      <w:r w:rsidR="003F269F" w:rsidRPr="003046BB">
        <w:rPr>
          <w:rFonts w:ascii="GHEA Grapalat" w:eastAsia="Times New Roman" w:hAnsi="GHEA Grapalat" w:cs="Times New Roman"/>
          <w:sz w:val="24"/>
          <w:szCs w:val="24"/>
          <w:lang w:val="hy-AM"/>
        </w:rPr>
        <w:t>,</w:t>
      </w:r>
    </w:p>
    <w:p w:rsidR="007529E7" w:rsidRPr="003046BB" w:rsidRDefault="007529E7"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 xml:space="preserve">5) </w:t>
      </w:r>
      <w:r w:rsidR="007649D8" w:rsidRPr="003046BB">
        <w:rPr>
          <w:rFonts w:ascii="GHEA Grapalat" w:eastAsia="Times New Roman" w:hAnsi="GHEA Grapalat" w:cs="Times New Roman"/>
          <w:sz w:val="24"/>
          <w:szCs w:val="24"/>
          <w:lang w:val="hy-AM"/>
        </w:rPr>
        <w:t>հակամենաշնորհային կոմպլեանսի կիրարկման համար պատասխանատու պաշտոնատար անձի մասին տեղեկատվություն</w:t>
      </w:r>
      <w:r w:rsidR="003F269F" w:rsidRPr="003046BB">
        <w:rPr>
          <w:rFonts w:ascii="GHEA Grapalat" w:eastAsia="Times New Roman" w:hAnsi="GHEA Grapalat" w:cs="Times New Roman"/>
          <w:sz w:val="24"/>
          <w:szCs w:val="24"/>
          <w:lang w:val="hy-AM"/>
        </w:rPr>
        <w:t>:</w:t>
      </w:r>
    </w:p>
    <w:p w:rsidR="00FC54D2" w:rsidRPr="003046BB" w:rsidRDefault="00C65D78"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 xml:space="preserve">Տնտեսվարող սուբյեկտն իրավունք ունի տվյալ ներքին ակտում (ակտերում) ներառել լրացուցիչ պահանջներ </w:t>
      </w:r>
      <w:r w:rsidR="00057767" w:rsidRPr="003046BB">
        <w:rPr>
          <w:rFonts w:ascii="GHEA Grapalat" w:eastAsia="Times New Roman" w:hAnsi="GHEA Grapalat" w:cs="Times New Roman"/>
          <w:sz w:val="24"/>
          <w:szCs w:val="24"/>
          <w:lang w:val="hy-AM"/>
        </w:rPr>
        <w:t>հակամենաշնորհային օրենսդրության պահանջներին համապատասխանության ներքին ապահովման համակարգի կազմակերպման համար։</w:t>
      </w:r>
    </w:p>
    <w:p w:rsidR="00EA0510" w:rsidRPr="003046BB" w:rsidRDefault="00EA0510" w:rsidP="00EA0510">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 xml:space="preserve">Տնտեսվարող սուբյեկտն իրավունք ունի մշակված ներքին ակտը (ակտերը) ուղարկել օրենքով կարգավորող լիազորություններով օժտված իրավասու պետական մարմնին կարծիքի։ Օրենքով կարգավորող լիազորություններով օժտված իրավասու պետական մարմինը մշակված ներքին ակտի (ակտերի) վերաբերյալ կարծիքը տնտեսվարող սուբյեկտին տրամադրում է առավելագույնը 1 (մեկ) ամսվա ընթացքում։ </w:t>
      </w:r>
    </w:p>
    <w:p w:rsidR="00FC54D2" w:rsidRPr="003046BB" w:rsidRDefault="00B1503E" w:rsidP="006F7A7E">
      <w:pPr>
        <w:pStyle w:val="ListParagraph"/>
        <w:numPr>
          <w:ilvl w:val="0"/>
          <w:numId w:val="8"/>
        </w:num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Սույն հոդվածի 2-րդ մասով նախատեսված ակտի (ակտերի)</w:t>
      </w:r>
      <w:r w:rsidR="008177DB" w:rsidRPr="003046BB">
        <w:rPr>
          <w:rFonts w:ascii="GHEA Grapalat" w:eastAsia="Times New Roman" w:hAnsi="GHEA Grapalat" w:cs="Times New Roman"/>
          <w:sz w:val="24"/>
          <w:szCs w:val="24"/>
          <w:lang w:val="hy-AM"/>
        </w:rPr>
        <w:t xml:space="preserve"> ընդունման մասին տեղեկատվությունը տեղադրվում է </w:t>
      </w:r>
      <w:r w:rsidR="00D22CA7" w:rsidRPr="003046BB">
        <w:rPr>
          <w:rFonts w:ascii="GHEA Grapalat" w:eastAsia="Times New Roman" w:hAnsi="GHEA Grapalat" w:cs="Times New Roman"/>
          <w:sz w:val="24"/>
          <w:szCs w:val="24"/>
          <w:lang w:val="hy-AM"/>
        </w:rPr>
        <w:t>համացանցում</w:t>
      </w:r>
      <w:r w:rsidR="00EB7530" w:rsidRPr="003046BB">
        <w:rPr>
          <w:rFonts w:ascii="GHEA Grapalat" w:eastAsia="Times New Roman" w:hAnsi="GHEA Grapalat" w:cs="Times New Roman"/>
          <w:sz w:val="24"/>
          <w:szCs w:val="24"/>
          <w:lang w:val="hy-AM"/>
        </w:rPr>
        <w:t>՝</w:t>
      </w:r>
      <w:r w:rsidR="00D22CA7" w:rsidRPr="003046BB">
        <w:rPr>
          <w:rFonts w:ascii="GHEA Grapalat" w:eastAsia="Times New Roman" w:hAnsi="GHEA Grapalat" w:cs="Times New Roman"/>
          <w:sz w:val="24"/>
          <w:szCs w:val="24"/>
          <w:lang w:val="hy-AM"/>
        </w:rPr>
        <w:t xml:space="preserve"> </w:t>
      </w:r>
      <w:r w:rsidR="00A24CFF" w:rsidRPr="003046BB">
        <w:rPr>
          <w:rFonts w:ascii="GHEA Grapalat" w:eastAsia="Times New Roman" w:hAnsi="GHEA Grapalat" w:cs="Times New Roman"/>
          <w:sz w:val="24"/>
          <w:szCs w:val="24"/>
          <w:lang w:val="hy-AM"/>
        </w:rPr>
        <w:t xml:space="preserve">օրենքով կարգավորող </w:t>
      </w:r>
      <w:r w:rsidR="00A24CFF" w:rsidRPr="003046BB">
        <w:rPr>
          <w:rFonts w:ascii="GHEA Grapalat" w:eastAsia="Times New Roman" w:hAnsi="GHEA Grapalat" w:cs="Times New Roman"/>
          <w:sz w:val="24"/>
          <w:szCs w:val="24"/>
          <w:lang w:val="hy-AM"/>
        </w:rPr>
        <w:lastRenderedPageBreak/>
        <w:t>լիազորություններով օժտված</w:t>
      </w:r>
      <w:r w:rsidR="008177DB" w:rsidRPr="003046BB">
        <w:rPr>
          <w:rFonts w:ascii="GHEA Grapalat" w:eastAsia="Times New Roman" w:hAnsi="GHEA Grapalat" w:cs="Times New Roman"/>
          <w:sz w:val="24"/>
          <w:szCs w:val="24"/>
          <w:lang w:val="hy-AM"/>
        </w:rPr>
        <w:t xml:space="preserve"> </w:t>
      </w:r>
      <w:r w:rsidR="00EA0510" w:rsidRPr="003046BB">
        <w:rPr>
          <w:rFonts w:ascii="GHEA Grapalat" w:eastAsia="Times New Roman" w:hAnsi="GHEA Grapalat" w:cs="Times New Roman"/>
          <w:sz w:val="24"/>
          <w:szCs w:val="24"/>
          <w:lang w:val="hy-AM"/>
        </w:rPr>
        <w:t xml:space="preserve">իրավասու </w:t>
      </w:r>
      <w:r w:rsidR="00A24CFF" w:rsidRPr="003046BB">
        <w:rPr>
          <w:rFonts w:ascii="GHEA Grapalat" w:eastAsia="Times New Roman" w:hAnsi="GHEA Grapalat" w:cs="Times New Roman"/>
          <w:sz w:val="24"/>
          <w:szCs w:val="24"/>
          <w:lang w:val="hy-AM"/>
        </w:rPr>
        <w:t>պետական մարմնի</w:t>
      </w:r>
      <w:r w:rsidR="008177DB" w:rsidRPr="003046BB">
        <w:rPr>
          <w:rFonts w:ascii="GHEA Grapalat" w:eastAsia="Times New Roman" w:hAnsi="GHEA Grapalat" w:cs="Times New Roman"/>
          <w:sz w:val="24"/>
          <w:szCs w:val="24"/>
          <w:lang w:val="hy-AM"/>
        </w:rPr>
        <w:t xml:space="preserve"> </w:t>
      </w:r>
      <w:r w:rsidR="00A24CFF" w:rsidRPr="003046BB">
        <w:rPr>
          <w:rFonts w:ascii="GHEA Grapalat" w:eastAsia="Times New Roman" w:hAnsi="GHEA Grapalat" w:cs="Times New Roman"/>
          <w:sz w:val="24"/>
          <w:szCs w:val="24"/>
          <w:lang w:val="hy-AM"/>
        </w:rPr>
        <w:t xml:space="preserve">պաշտոնական </w:t>
      </w:r>
      <w:r w:rsidR="008177DB" w:rsidRPr="003046BB">
        <w:rPr>
          <w:rFonts w:ascii="GHEA Grapalat" w:eastAsia="Times New Roman" w:hAnsi="GHEA Grapalat" w:cs="Times New Roman"/>
          <w:sz w:val="24"/>
          <w:szCs w:val="24"/>
          <w:lang w:val="hy-AM"/>
        </w:rPr>
        <w:t>կայքում</w:t>
      </w:r>
      <w:r w:rsidR="00E84337" w:rsidRPr="003046BB">
        <w:rPr>
          <w:rFonts w:ascii="GHEA Grapalat" w:eastAsia="Times New Roman" w:hAnsi="GHEA Grapalat" w:cs="Times New Roman"/>
          <w:sz w:val="24"/>
          <w:szCs w:val="24"/>
          <w:lang w:val="hy-AM"/>
        </w:rPr>
        <w:t>։ Նշված տեղեկատվությունը տեղադրվում է հայերենով։</w:t>
      </w:r>
    </w:p>
    <w:p w:rsidR="00733082" w:rsidRPr="003046BB" w:rsidRDefault="00733082" w:rsidP="006F7A7E">
      <w:pPr>
        <w:pStyle w:val="ListParagraph"/>
        <w:numPr>
          <w:ilvl w:val="0"/>
          <w:numId w:val="8"/>
        </w:num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Հակամենաշնորհային օրենսդրության խախտման գործի հարուցման և ուսումնասիրության</w:t>
      </w:r>
      <w:r w:rsidR="009E2AA7" w:rsidRPr="003046BB">
        <w:rPr>
          <w:rFonts w:ascii="GHEA Grapalat" w:eastAsia="Times New Roman" w:hAnsi="GHEA Grapalat" w:cs="Times New Roman"/>
          <w:sz w:val="24"/>
          <w:szCs w:val="24"/>
          <w:lang w:val="hy-AM"/>
        </w:rPr>
        <w:t xml:space="preserve"> դեպքում </w:t>
      </w:r>
      <w:r w:rsidR="00E33E0B" w:rsidRPr="003046BB">
        <w:rPr>
          <w:rFonts w:ascii="GHEA Grapalat" w:eastAsia="Times New Roman" w:hAnsi="GHEA Grapalat" w:cs="Times New Roman"/>
          <w:sz w:val="24"/>
          <w:szCs w:val="24"/>
          <w:lang w:val="hy-AM"/>
        </w:rPr>
        <w:t xml:space="preserve">կազմակերպության հակամենաշնորհային օրենսդրության պահանջներին համապատասխանության </w:t>
      </w:r>
      <w:r w:rsidR="00185E64" w:rsidRPr="003046BB">
        <w:rPr>
          <w:rFonts w:ascii="GHEA Grapalat" w:eastAsia="Times New Roman" w:hAnsi="GHEA Grapalat" w:cs="Times New Roman"/>
          <w:sz w:val="24"/>
          <w:szCs w:val="24"/>
          <w:lang w:val="hy-AM"/>
        </w:rPr>
        <w:t xml:space="preserve">ապացուցման </w:t>
      </w:r>
      <w:r w:rsidR="00E33E0B" w:rsidRPr="003046BB">
        <w:rPr>
          <w:rFonts w:ascii="GHEA Grapalat" w:eastAsia="Times New Roman" w:hAnsi="GHEA Grapalat" w:cs="Times New Roman"/>
          <w:sz w:val="24"/>
          <w:szCs w:val="24"/>
          <w:lang w:val="hy-AM"/>
        </w:rPr>
        <w:t xml:space="preserve">պարտավորությունը </w:t>
      </w:r>
      <w:r w:rsidR="00185E64" w:rsidRPr="003046BB">
        <w:rPr>
          <w:rFonts w:ascii="GHEA Grapalat" w:eastAsia="Times New Roman" w:hAnsi="GHEA Grapalat" w:cs="Times New Roman"/>
          <w:sz w:val="24"/>
          <w:szCs w:val="24"/>
          <w:lang w:val="hy-AM"/>
        </w:rPr>
        <w:t>կրում է</w:t>
      </w:r>
      <w:r w:rsidR="00E33E0B" w:rsidRPr="003046BB">
        <w:rPr>
          <w:rFonts w:ascii="GHEA Grapalat" w:eastAsia="Times New Roman" w:hAnsi="GHEA Grapalat" w:cs="Times New Roman"/>
          <w:sz w:val="24"/>
          <w:szCs w:val="24"/>
          <w:lang w:val="hy-AM"/>
        </w:rPr>
        <w:t xml:space="preserve"> տնտեսվարող սուբյեկտ</w:t>
      </w:r>
      <w:r w:rsidR="00185E64" w:rsidRPr="003046BB">
        <w:rPr>
          <w:rFonts w:ascii="GHEA Grapalat" w:eastAsia="Times New Roman" w:hAnsi="GHEA Grapalat" w:cs="Times New Roman"/>
          <w:sz w:val="24"/>
          <w:szCs w:val="24"/>
          <w:lang w:val="hy-AM"/>
        </w:rPr>
        <w:t>ը։</w:t>
      </w:r>
    </w:p>
    <w:p w:rsidR="00FC54D2" w:rsidRPr="003046BB" w:rsidRDefault="00FD043C" w:rsidP="006F7A7E">
      <w:pPr>
        <w:pStyle w:val="ListParagraph"/>
        <w:numPr>
          <w:ilvl w:val="0"/>
          <w:numId w:val="8"/>
        </w:num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«Հանրային ծառայությունները կարգավորող մարմնի մասին» ՀՀ օրենքի իմաստով հանրային ծառայությունների կարգավորման ոլորտում գործունեություն իրականացնող, թափոնների գործածության, աղբահանության և սանիտարական մաքրման ոլորտներում գործունեություն իրականացնող կազմակերպություն</w:t>
      </w:r>
      <w:r w:rsidR="00E63543">
        <w:rPr>
          <w:rFonts w:ascii="GHEA Grapalat" w:eastAsia="Times New Roman" w:hAnsi="GHEA Grapalat" w:cs="Times New Roman"/>
          <w:sz w:val="24"/>
          <w:szCs w:val="24"/>
          <w:lang w:val="hy-AM"/>
        </w:rPr>
        <w:t>ները, գործարար սուբյեկտները, որոնց</w:t>
      </w:r>
      <w:r w:rsidRPr="003046BB">
        <w:rPr>
          <w:rFonts w:ascii="GHEA Grapalat" w:eastAsia="Times New Roman" w:hAnsi="GHEA Grapalat" w:cs="Times New Roman"/>
          <w:sz w:val="24"/>
          <w:szCs w:val="24"/>
          <w:lang w:val="hy-AM"/>
        </w:rPr>
        <w:t xml:space="preserve"> կանոնադրական կապիտալում պետությունն ունի 50 տոկոսից ավել բաժնեմաս,</w:t>
      </w:r>
      <w:r w:rsidR="00AA3121" w:rsidRPr="003046BB">
        <w:rPr>
          <w:rFonts w:ascii="GHEA Grapalat" w:eastAsia="Times New Roman" w:hAnsi="GHEA Grapalat" w:cs="Times New Roman"/>
          <w:sz w:val="24"/>
          <w:szCs w:val="24"/>
          <w:lang w:val="hy-AM"/>
        </w:rPr>
        <w:t xml:space="preserve"> պարտավոր են մինչև 202</w:t>
      </w:r>
      <w:r w:rsidR="00DC4A8D" w:rsidRPr="003046BB">
        <w:rPr>
          <w:rFonts w:ascii="GHEA Grapalat" w:eastAsia="Times New Roman" w:hAnsi="GHEA Grapalat" w:cs="Times New Roman"/>
          <w:sz w:val="24"/>
          <w:szCs w:val="24"/>
          <w:lang w:val="hy-AM"/>
        </w:rPr>
        <w:t>3</w:t>
      </w:r>
      <w:r w:rsidR="00AA3121" w:rsidRPr="003046BB">
        <w:rPr>
          <w:rFonts w:ascii="GHEA Grapalat" w:eastAsia="Times New Roman" w:hAnsi="GHEA Grapalat" w:cs="Times New Roman"/>
          <w:sz w:val="24"/>
          <w:szCs w:val="24"/>
          <w:lang w:val="hy-AM"/>
        </w:rPr>
        <w:t xml:space="preserve"> թվականի հունվարի 1-ը </w:t>
      </w:r>
      <w:r w:rsidR="00B33250" w:rsidRPr="003046BB">
        <w:rPr>
          <w:rFonts w:ascii="GHEA Grapalat" w:eastAsia="Times New Roman" w:hAnsi="GHEA Grapalat" w:cs="Times New Roman"/>
          <w:sz w:val="24"/>
          <w:szCs w:val="24"/>
          <w:lang w:val="hy-AM"/>
        </w:rPr>
        <w:t xml:space="preserve">սույն օրենքի 2-րդ հոդվածի պահանջներին համապատասխան </w:t>
      </w:r>
      <w:r w:rsidR="00AA3121" w:rsidRPr="003046BB">
        <w:rPr>
          <w:rFonts w:ascii="GHEA Grapalat" w:eastAsia="Times New Roman" w:hAnsi="GHEA Grapalat" w:cs="Times New Roman"/>
          <w:sz w:val="24"/>
          <w:szCs w:val="24"/>
          <w:lang w:val="hy-AM"/>
        </w:rPr>
        <w:t xml:space="preserve">մշակել և ընդունել </w:t>
      </w:r>
      <w:r w:rsidR="00A8317C" w:rsidRPr="003046BB">
        <w:rPr>
          <w:rFonts w:ascii="GHEA Grapalat" w:eastAsia="Times New Roman" w:hAnsi="GHEA Grapalat" w:cs="Times New Roman"/>
          <w:sz w:val="24"/>
          <w:szCs w:val="24"/>
          <w:lang w:val="hy-AM"/>
        </w:rPr>
        <w:t xml:space="preserve">ներքին ակտեր </w:t>
      </w:r>
      <w:r w:rsidR="00AA3121" w:rsidRPr="003046BB">
        <w:rPr>
          <w:rFonts w:ascii="GHEA Grapalat" w:eastAsia="Times New Roman" w:hAnsi="GHEA Grapalat" w:cs="Times New Roman"/>
          <w:sz w:val="24"/>
          <w:szCs w:val="24"/>
          <w:lang w:val="hy-AM"/>
        </w:rPr>
        <w:t xml:space="preserve">հակամենաշնորհային օրենսդրության պահանջներին համապատասխանության ներքին ապահովման համակարգի </w:t>
      </w:r>
      <w:r w:rsidR="00A8317C" w:rsidRPr="003046BB">
        <w:rPr>
          <w:rFonts w:ascii="GHEA Grapalat" w:eastAsia="Times New Roman" w:hAnsi="GHEA Grapalat" w:cs="Times New Roman"/>
          <w:sz w:val="24"/>
          <w:szCs w:val="24"/>
          <w:lang w:val="hy-AM"/>
        </w:rPr>
        <w:t>(հակամենաշնորհային կոմպլեանս)</w:t>
      </w:r>
      <w:r w:rsidR="00DB47DD" w:rsidRPr="003046BB">
        <w:rPr>
          <w:rFonts w:ascii="GHEA Grapalat" w:eastAsia="Times New Roman" w:hAnsi="GHEA Grapalat" w:cs="Times New Roman"/>
          <w:sz w:val="24"/>
          <w:szCs w:val="24"/>
          <w:lang w:val="hy-AM"/>
        </w:rPr>
        <w:t xml:space="preserve"> </w:t>
      </w:r>
      <w:r w:rsidR="0042706D" w:rsidRPr="003046BB">
        <w:rPr>
          <w:rFonts w:ascii="GHEA Grapalat" w:eastAsia="Times New Roman" w:hAnsi="GHEA Grapalat" w:cs="Times New Roman"/>
          <w:sz w:val="24"/>
          <w:szCs w:val="24"/>
          <w:lang w:val="hy-AM"/>
        </w:rPr>
        <w:t>կազմակերպման համար</w:t>
      </w:r>
      <w:r w:rsidR="00A8317C" w:rsidRPr="003046BB">
        <w:rPr>
          <w:rFonts w:ascii="GHEA Grapalat" w:eastAsia="Times New Roman" w:hAnsi="GHEA Grapalat" w:cs="Times New Roman"/>
          <w:sz w:val="24"/>
          <w:szCs w:val="24"/>
          <w:lang w:val="hy-AM"/>
        </w:rPr>
        <w:t>։</w:t>
      </w:r>
      <w:r w:rsidR="00AA3121" w:rsidRPr="003046BB">
        <w:rPr>
          <w:rFonts w:ascii="GHEA Grapalat" w:eastAsia="Times New Roman" w:hAnsi="GHEA Grapalat" w:cs="Times New Roman"/>
          <w:sz w:val="24"/>
          <w:szCs w:val="24"/>
          <w:lang w:val="hy-AM"/>
        </w:rPr>
        <w:t xml:space="preserve"> </w:t>
      </w:r>
    </w:p>
    <w:p w:rsidR="003841F5" w:rsidRPr="003046BB" w:rsidRDefault="00E63543" w:rsidP="006F7A7E">
      <w:pPr>
        <w:pStyle w:val="ListParagraph"/>
        <w:spacing w:after="0" w:line="360" w:lineRule="auto"/>
        <w:ind w:left="-180" w:right="-334"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Սույն օրենքն ուժի մեջ մտնելուց հետո</w:t>
      </w:r>
      <w:r w:rsidR="003841F5" w:rsidRPr="003046BB">
        <w:rPr>
          <w:rFonts w:ascii="GHEA Grapalat" w:eastAsia="Times New Roman" w:hAnsi="GHEA Grapalat" w:cs="Times New Roman"/>
          <w:sz w:val="24"/>
          <w:szCs w:val="24"/>
          <w:lang w:val="hy-AM"/>
        </w:rPr>
        <w:t xml:space="preserve"> </w:t>
      </w:r>
      <w:r w:rsidR="000251A7" w:rsidRPr="003046BB">
        <w:rPr>
          <w:rFonts w:ascii="GHEA Grapalat" w:eastAsia="Times New Roman" w:hAnsi="GHEA Grapalat" w:cs="Times New Roman"/>
          <w:sz w:val="24"/>
          <w:szCs w:val="24"/>
          <w:lang w:val="hy-AM"/>
        </w:rPr>
        <w:t xml:space="preserve">«Հանրային ծառայությունները կարգավորող մարմնի մասին» ՀՀ օրենքի իմաստով հանրային ծառայությունների կարգավորման ոլորտում գործունեություն իրականացնող, թափոնների գործածության, աղբահանության և սանիտարական մաքրման ոլորտներում գործունեություն իրականացնող կազմակերպությունները, գործարար </w:t>
      </w:r>
      <w:r w:rsidR="00236255" w:rsidRPr="003046BB">
        <w:rPr>
          <w:rFonts w:ascii="GHEA Grapalat" w:eastAsia="Times New Roman" w:hAnsi="GHEA Grapalat" w:cs="Times New Roman"/>
          <w:sz w:val="24"/>
          <w:szCs w:val="24"/>
          <w:lang w:val="hy-AM"/>
        </w:rPr>
        <w:t>սուբյեկտները</w:t>
      </w:r>
      <w:r>
        <w:rPr>
          <w:rFonts w:ascii="GHEA Grapalat" w:eastAsia="Times New Roman" w:hAnsi="GHEA Grapalat" w:cs="Times New Roman"/>
          <w:sz w:val="24"/>
          <w:szCs w:val="24"/>
          <w:lang w:val="hy-AM"/>
        </w:rPr>
        <w:t xml:space="preserve">, որոնց </w:t>
      </w:r>
      <w:r w:rsidR="000251A7" w:rsidRPr="003046BB">
        <w:rPr>
          <w:rFonts w:ascii="GHEA Grapalat" w:eastAsia="Times New Roman" w:hAnsi="GHEA Grapalat" w:cs="Times New Roman"/>
          <w:sz w:val="24"/>
          <w:szCs w:val="24"/>
          <w:lang w:val="hy-AM"/>
        </w:rPr>
        <w:t>կանոնադրական կապիտալում պետություն</w:t>
      </w:r>
      <w:r w:rsidR="00236255" w:rsidRPr="003046BB">
        <w:rPr>
          <w:rFonts w:ascii="GHEA Grapalat" w:eastAsia="Times New Roman" w:hAnsi="GHEA Grapalat" w:cs="Times New Roman"/>
          <w:sz w:val="24"/>
          <w:szCs w:val="24"/>
          <w:lang w:val="hy-AM"/>
        </w:rPr>
        <w:t>ն</w:t>
      </w:r>
      <w:r w:rsidR="000251A7" w:rsidRPr="003046BB">
        <w:rPr>
          <w:rFonts w:ascii="GHEA Grapalat" w:eastAsia="Times New Roman" w:hAnsi="GHEA Grapalat" w:cs="Times New Roman"/>
          <w:sz w:val="24"/>
          <w:szCs w:val="24"/>
          <w:lang w:val="hy-AM"/>
        </w:rPr>
        <w:t xml:space="preserve"> ուն</w:t>
      </w:r>
      <w:r w:rsidR="00236255" w:rsidRPr="003046BB">
        <w:rPr>
          <w:rFonts w:ascii="GHEA Grapalat" w:eastAsia="Times New Roman" w:hAnsi="GHEA Grapalat" w:cs="Times New Roman"/>
          <w:sz w:val="24"/>
          <w:szCs w:val="24"/>
          <w:lang w:val="hy-AM"/>
        </w:rPr>
        <w:t>ի</w:t>
      </w:r>
      <w:r w:rsidR="000251A7" w:rsidRPr="003046BB">
        <w:rPr>
          <w:rFonts w:ascii="GHEA Grapalat" w:eastAsia="Times New Roman" w:hAnsi="GHEA Grapalat" w:cs="Times New Roman"/>
          <w:sz w:val="24"/>
          <w:szCs w:val="24"/>
          <w:lang w:val="hy-AM"/>
        </w:rPr>
        <w:t xml:space="preserve"> 50 տոկոսից ավել բաժնեմաս,</w:t>
      </w:r>
      <w:r w:rsidR="003841F5" w:rsidRPr="003046BB">
        <w:rPr>
          <w:rFonts w:ascii="GHEA Grapalat" w:eastAsia="Times New Roman" w:hAnsi="GHEA Grapalat" w:cs="Times New Roman"/>
          <w:sz w:val="24"/>
          <w:szCs w:val="24"/>
          <w:lang w:val="hy-AM"/>
        </w:rPr>
        <w:t xml:space="preserve"> պարտավոր են </w:t>
      </w:r>
      <w:r w:rsidR="00E546B4" w:rsidRPr="003046BB">
        <w:rPr>
          <w:rFonts w:ascii="GHEA Grapalat" w:eastAsia="Times New Roman" w:hAnsi="GHEA Grapalat" w:cs="Times New Roman"/>
          <w:sz w:val="24"/>
          <w:szCs w:val="24"/>
          <w:lang w:val="hy-AM"/>
        </w:rPr>
        <w:t xml:space="preserve">կազմավորվելու օրվան հաջորդող 6 ամսվա ընթացքում </w:t>
      </w:r>
      <w:r w:rsidR="005F0DCE" w:rsidRPr="003046BB">
        <w:rPr>
          <w:rFonts w:ascii="GHEA Grapalat" w:eastAsia="Times New Roman" w:hAnsi="GHEA Grapalat" w:cs="Times New Roman"/>
          <w:sz w:val="24"/>
          <w:szCs w:val="24"/>
          <w:lang w:val="hy-AM"/>
        </w:rPr>
        <w:t xml:space="preserve">սույն օրենքի 2-րդ հոդվածի պահանջներին համապատասխան </w:t>
      </w:r>
      <w:r w:rsidR="003841F5" w:rsidRPr="003046BB">
        <w:rPr>
          <w:rFonts w:ascii="GHEA Grapalat" w:eastAsia="Times New Roman" w:hAnsi="GHEA Grapalat" w:cs="Times New Roman"/>
          <w:sz w:val="24"/>
          <w:szCs w:val="24"/>
          <w:lang w:val="hy-AM"/>
        </w:rPr>
        <w:t>մշակել և ընդունել ներքին ակտեր</w:t>
      </w:r>
      <w:r w:rsidR="003F269F" w:rsidRPr="003046BB">
        <w:rPr>
          <w:rFonts w:ascii="GHEA Grapalat" w:eastAsia="Times New Roman" w:hAnsi="GHEA Grapalat" w:cs="Times New Roman"/>
          <w:sz w:val="24"/>
          <w:szCs w:val="24"/>
          <w:lang w:val="hy-AM"/>
        </w:rPr>
        <w:t xml:space="preserve"> </w:t>
      </w:r>
      <w:r w:rsidR="003841F5" w:rsidRPr="003046BB">
        <w:rPr>
          <w:rFonts w:ascii="GHEA Grapalat" w:eastAsia="Times New Roman" w:hAnsi="GHEA Grapalat" w:cs="Times New Roman"/>
          <w:sz w:val="24"/>
          <w:szCs w:val="24"/>
          <w:lang w:val="hy-AM"/>
        </w:rPr>
        <w:t>հակամենաշնորհային օրենսդրության պահանջներին համապատասխանության ներքին ապահովման համակարգի (հակամենաշնորհային կոմպլեանս)</w:t>
      </w:r>
      <w:r w:rsidR="00AE3AAA" w:rsidRPr="003046BB">
        <w:rPr>
          <w:rFonts w:ascii="GHEA Grapalat" w:eastAsia="Times New Roman" w:hAnsi="GHEA Grapalat" w:cs="Times New Roman"/>
          <w:sz w:val="24"/>
          <w:szCs w:val="24"/>
          <w:lang w:val="hy-AM"/>
        </w:rPr>
        <w:t xml:space="preserve"> </w:t>
      </w:r>
      <w:r w:rsidR="003841F5" w:rsidRPr="003046BB">
        <w:rPr>
          <w:rFonts w:ascii="GHEA Grapalat" w:eastAsia="Times New Roman" w:hAnsi="GHEA Grapalat" w:cs="Times New Roman"/>
          <w:sz w:val="24"/>
          <w:szCs w:val="24"/>
          <w:lang w:val="hy-AM"/>
        </w:rPr>
        <w:t>կազմակերպման համար։</w:t>
      </w:r>
      <w:r w:rsidR="008262A7">
        <w:rPr>
          <w:rFonts w:ascii="GHEA Grapalat" w:eastAsia="Times New Roman" w:hAnsi="GHEA Grapalat" w:cs="Times New Roman"/>
          <w:sz w:val="24"/>
          <w:szCs w:val="24"/>
          <w:lang w:val="hy-AM"/>
        </w:rPr>
        <w:t>»:</w:t>
      </w:r>
      <w:r w:rsidR="003841F5" w:rsidRPr="003046BB">
        <w:rPr>
          <w:rFonts w:ascii="GHEA Grapalat" w:eastAsia="Times New Roman" w:hAnsi="GHEA Grapalat" w:cs="Times New Roman"/>
          <w:sz w:val="24"/>
          <w:szCs w:val="24"/>
          <w:lang w:val="hy-AM"/>
        </w:rPr>
        <w:t xml:space="preserve"> </w:t>
      </w:r>
    </w:p>
    <w:p w:rsidR="005467EE" w:rsidRPr="003046BB" w:rsidRDefault="005467EE"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b/>
          <w:sz w:val="24"/>
          <w:szCs w:val="24"/>
          <w:lang w:val="hy-AM"/>
        </w:rPr>
        <w:t xml:space="preserve">Հոդված 3. </w:t>
      </w:r>
      <w:r w:rsidRPr="003046BB">
        <w:rPr>
          <w:rFonts w:ascii="GHEA Grapalat" w:hAnsi="GHEA Grapalat" w:cs="Sylfaen"/>
          <w:color w:val="000000"/>
          <w:sz w:val="24"/>
          <w:szCs w:val="24"/>
          <w:lang w:val="hy-AM"/>
        </w:rPr>
        <w:t>Սույն</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օրենքն</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ուժի</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մեջ</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է</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մտնում</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պաշտոնական</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հրապարակմանը</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հաջորդող</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տասներորդ</w:t>
      </w:r>
      <w:r w:rsidRPr="003046BB">
        <w:rPr>
          <w:rFonts w:ascii="GHEA Grapalat" w:hAnsi="GHEA Grapalat"/>
          <w:color w:val="000000"/>
          <w:sz w:val="24"/>
          <w:szCs w:val="24"/>
          <w:lang w:val="hy-AM"/>
        </w:rPr>
        <w:t xml:space="preserve"> </w:t>
      </w:r>
      <w:r w:rsidRPr="003046BB">
        <w:rPr>
          <w:rFonts w:ascii="GHEA Grapalat" w:hAnsi="GHEA Grapalat" w:cs="Sylfaen"/>
          <w:color w:val="000000"/>
          <w:sz w:val="24"/>
          <w:szCs w:val="24"/>
          <w:lang w:val="hy-AM"/>
        </w:rPr>
        <w:t>օրվանից:</w:t>
      </w:r>
    </w:p>
    <w:p w:rsidR="0027742E" w:rsidRPr="003046BB" w:rsidRDefault="0027742E">
      <w:pPr>
        <w:rPr>
          <w:rFonts w:ascii="GHEA Grapalat" w:eastAsia="Tahoma" w:hAnsi="GHEA Grapalat" w:cs="Tahoma"/>
          <w:b/>
          <w:color w:val="000000"/>
          <w:sz w:val="24"/>
          <w:szCs w:val="24"/>
          <w:u w:val="single"/>
          <w:lang w:val="hy-AM"/>
        </w:rPr>
      </w:pPr>
      <w:r w:rsidRPr="003046BB">
        <w:rPr>
          <w:rFonts w:ascii="GHEA Grapalat" w:eastAsia="Tahoma" w:hAnsi="GHEA Grapalat" w:cs="Tahoma"/>
          <w:b/>
          <w:color w:val="000000"/>
          <w:sz w:val="24"/>
          <w:szCs w:val="24"/>
          <w:u w:val="single"/>
          <w:lang w:val="hy-AM"/>
        </w:rPr>
        <w:lastRenderedPageBreak/>
        <w:br w:type="page"/>
      </w:r>
    </w:p>
    <w:p w:rsidR="00A24CFF" w:rsidRPr="003046BB" w:rsidRDefault="00A24CFF" w:rsidP="0016755D">
      <w:pPr>
        <w:spacing w:after="0" w:line="360" w:lineRule="auto"/>
        <w:ind w:left="-187" w:right="-331"/>
        <w:jc w:val="right"/>
        <w:rPr>
          <w:rFonts w:ascii="GHEA Grapalat" w:eastAsia="Tahoma" w:hAnsi="GHEA Grapalat" w:cs="Tahoma"/>
          <w:b/>
          <w:color w:val="000000"/>
          <w:sz w:val="24"/>
          <w:szCs w:val="24"/>
          <w:u w:val="single"/>
          <w:lang w:val="hy-AM"/>
        </w:rPr>
      </w:pPr>
    </w:p>
    <w:p w:rsidR="002D0F0B" w:rsidRPr="00C1029D" w:rsidRDefault="002D0F0B" w:rsidP="0016755D">
      <w:pPr>
        <w:spacing w:after="0" w:line="360" w:lineRule="auto"/>
        <w:ind w:left="-187" w:right="-331"/>
        <w:jc w:val="right"/>
        <w:rPr>
          <w:rFonts w:ascii="GHEA Grapalat" w:eastAsia="Tahoma" w:hAnsi="GHEA Grapalat" w:cs="Tahoma"/>
          <w:color w:val="000000"/>
          <w:sz w:val="24"/>
          <w:szCs w:val="24"/>
          <w:lang w:val="hy-AM"/>
        </w:rPr>
      </w:pPr>
      <w:r w:rsidRPr="00C1029D">
        <w:rPr>
          <w:rFonts w:ascii="GHEA Grapalat" w:eastAsia="Tahoma" w:hAnsi="GHEA Grapalat" w:cs="Tahoma"/>
          <w:color w:val="000000"/>
          <w:sz w:val="24"/>
          <w:szCs w:val="24"/>
          <w:lang w:val="hy-AM"/>
        </w:rPr>
        <w:t>ՆԱԽԱԳԻԾ</w:t>
      </w:r>
    </w:p>
    <w:p w:rsidR="0016755D" w:rsidRPr="003046BB" w:rsidRDefault="0016755D" w:rsidP="0016755D">
      <w:pPr>
        <w:spacing w:after="0" w:line="360" w:lineRule="auto"/>
        <w:ind w:left="-187" w:right="-331"/>
        <w:jc w:val="right"/>
        <w:rPr>
          <w:rFonts w:ascii="GHEA Grapalat" w:eastAsia="Merriweather" w:hAnsi="GHEA Grapalat" w:cs="Merriweather"/>
          <w:b/>
          <w:color w:val="000000"/>
          <w:sz w:val="24"/>
          <w:szCs w:val="24"/>
          <w:u w:val="single"/>
          <w:lang w:val="hy-AM"/>
        </w:rPr>
      </w:pPr>
    </w:p>
    <w:p w:rsidR="002D0F0B" w:rsidRPr="003046BB" w:rsidRDefault="002D0F0B" w:rsidP="00390ECD">
      <w:pPr>
        <w:spacing w:after="0" w:line="360" w:lineRule="auto"/>
        <w:ind w:left="-187" w:right="-331"/>
        <w:jc w:val="center"/>
        <w:rPr>
          <w:rFonts w:ascii="GHEA Grapalat" w:eastAsia="Merriweather" w:hAnsi="GHEA Grapalat" w:cs="Merriweather"/>
          <w:b/>
          <w:color w:val="000000"/>
          <w:sz w:val="24"/>
          <w:szCs w:val="24"/>
          <w:lang w:val="hy-AM"/>
        </w:rPr>
      </w:pPr>
      <w:r w:rsidRPr="003046BB">
        <w:rPr>
          <w:rFonts w:ascii="GHEA Grapalat" w:eastAsia="Tahoma" w:hAnsi="GHEA Grapalat" w:cs="Tahoma"/>
          <w:b/>
          <w:color w:val="000000"/>
          <w:sz w:val="24"/>
          <w:szCs w:val="24"/>
          <w:lang w:val="hy-AM"/>
        </w:rPr>
        <w:t>ՀԱՅԱՍՏԱՆԻ ՀԱՆՐԱՊԵՏՈՒԹՅԱՆ ՕՐԵՆՔ</w:t>
      </w:r>
      <w:r w:rsidR="00390ECD">
        <w:rPr>
          <w:rFonts w:ascii="GHEA Grapalat" w:eastAsia="Tahoma" w:hAnsi="GHEA Grapalat" w:cs="Tahoma"/>
          <w:b/>
          <w:color w:val="000000"/>
          <w:sz w:val="24"/>
          <w:szCs w:val="24"/>
          <w:lang w:val="hy-AM"/>
        </w:rPr>
        <w:t>Ը</w:t>
      </w:r>
    </w:p>
    <w:p w:rsidR="001F16E5" w:rsidRPr="003046BB" w:rsidRDefault="00390ECD" w:rsidP="00390ECD">
      <w:pPr>
        <w:spacing w:after="0" w:line="360" w:lineRule="auto"/>
        <w:ind w:left="-187" w:right="-331"/>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w:t>
      </w:r>
      <w:r w:rsidR="001F16E5" w:rsidRPr="003046BB">
        <w:rPr>
          <w:rFonts w:ascii="GHEA Grapalat" w:eastAsia="Times New Roman" w:hAnsi="GHEA Grapalat" w:cs="Times New Roman"/>
          <w:b/>
          <w:sz w:val="24"/>
          <w:szCs w:val="24"/>
          <w:lang w:val="hy-AM"/>
        </w:rPr>
        <w:t>ՎԱՐՉԱԿԱՆ ԻՐԱՎԱԽԱԽՏՈՒՄՆԵՐԻ ՎԵՐԱԲԵՐՅԱԼ ՀԱՅԱՍՏԱՆԻ</w:t>
      </w:r>
    </w:p>
    <w:p w:rsidR="006A14A6" w:rsidRPr="003046BB" w:rsidRDefault="001F16E5" w:rsidP="00390ECD">
      <w:pPr>
        <w:spacing w:after="0" w:line="360" w:lineRule="auto"/>
        <w:ind w:left="-187" w:right="-331"/>
        <w:jc w:val="center"/>
        <w:rPr>
          <w:rFonts w:ascii="GHEA Grapalat" w:eastAsia="Times New Roman" w:hAnsi="GHEA Grapalat" w:cs="Times New Roman"/>
          <w:b/>
          <w:sz w:val="24"/>
          <w:szCs w:val="24"/>
          <w:lang w:val="hy-AM"/>
        </w:rPr>
      </w:pPr>
      <w:r w:rsidRPr="003046BB">
        <w:rPr>
          <w:rFonts w:ascii="GHEA Grapalat" w:eastAsia="Times New Roman" w:hAnsi="GHEA Grapalat" w:cs="Times New Roman"/>
          <w:b/>
          <w:sz w:val="24"/>
          <w:szCs w:val="24"/>
          <w:lang w:val="hy-AM"/>
        </w:rPr>
        <w:t>ՀԱՆՐԱՊԵՏՈՒԹՅԱՆ</w:t>
      </w:r>
      <w:r w:rsidR="006A14A6" w:rsidRPr="003046BB">
        <w:rPr>
          <w:rFonts w:ascii="GHEA Grapalat" w:eastAsia="Times New Roman" w:hAnsi="GHEA Grapalat" w:cs="Times New Roman"/>
          <w:b/>
          <w:sz w:val="24"/>
          <w:szCs w:val="24"/>
          <w:lang w:val="hy-AM"/>
        </w:rPr>
        <w:t xml:space="preserve"> ՕՐԵՆՍԳՐՔՈՒՄ ԼՐԱՑՈՒՄՆԵՐ ԿԱՏԱՐԵԼՈՒ ՄԱՍԻՆ</w:t>
      </w:r>
      <w:r w:rsidR="00390ECD">
        <w:rPr>
          <w:rFonts w:ascii="GHEA Grapalat" w:eastAsia="Times New Roman" w:hAnsi="GHEA Grapalat" w:cs="Times New Roman"/>
          <w:b/>
          <w:sz w:val="24"/>
          <w:szCs w:val="24"/>
          <w:lang w:val="hy-AM"/>
        </w:rPr>
        <w:t>»</w:t>
      </w:r>
    </w:p>
    <w:p w:rsidR="00BF2E6F" w:rsidRPr="003046BB" w:rsidRDefault="00BF2E6F" w:rsidP="006F7A7E">
      <w:pPr>
        <w:spacing w:after="0" w:line="360" w:lineRule="auto"/>
        <w:ind w:left="-180" w:right="-334" w:firstLine="720"/>
        <w:jc w:val="both"/>
        <w:rPr>
          <w:rFonts w:ascii="GHEA Grapalat" w:eastAsia="Times New Roman" w:hAnsi="GHEA Grapalat" w:cs="Times New Roman"/>
          <w:sz w:val="24"/>
          <w:szCs w:val="24"/>
          <w:lang w:val="hy-AM"/>
        </w:rPr>
      </w:pPr>
    </w:p>
    <w:p w:rsidR="003841F5" w:rsidRPr="003046BB" w:rsidRDefault="003841F5" w:rsidP="006F7A7E">
      <w:pPr>
        <w:spacing w:after="0" w:line="360" w:lineRule="auto"/>
        <w:ind w:left="-180" w:right="-334" w:firstLine="720"/>
        <w:jc w:val="both"/>
        <w:rPr>
          <w:rFonts w:ascii="GHEA Grapalat" w:eastAsia="Times New Roman" w:hAnsi="GHEA Grapalat" w:cs="Times New Roman"/>
          <w:sz w:val="24"/>
          <w:szCs w:val="24"/>
          <w:lang w:val="hy-AM"/>
        </w:rPr>
      </w:pPr>
    </w:p>
    <w:p w:rsidR="00C659B3" w:rsidRPr="003046BB" w:rsidRDefault="00101A3D" w:rsidP="006F7A7E">
      <w:pPr>
        <w:spacing w:after="0" w:line="360" w:lineRule="auto"/>
        <w:ind w:left="-180" w:right="-334" w:firstLine="720"/>
        <w:jc w:val="both"/>
        <w:rPr>
          <w:rFonts w:ascii="GHEA Grapalat" w:eastAsia="Tahoma" w:hAnsi="GHEA Grapalat" w:cs="Tahoma"/>
          <w:color w:val="000000"/>
          <w:sz w:val="24"/>
          <w:szCs w:val="24"/>
          <w:lang w:val="hy-AM"/>
        </w:rPr>
      </w:pPr>
      <w:r w:rsidRPr="003046BB">
        <w:rPr>
          <w:rFonts w:ascii="GHEA Grapalat" w:eastAsia="Times New Roman" w:hAnsi="GHEA Grapalat" w:cs="Times New Roman"/>
          <w:b/>
          <w:sz w:val="24"/>
          <w:szCs w:val="24"/>
          <w:lang w:val="hy-AM"/>
        </w:rPr>
        <w:t xml:space="preserve">Հոդված </w:t>
      </w:r>
      <w:r w:rsidR="00C341B0" w:rsidRPr="003046BB">
        <w:rPr>
          <w:rFonts w:ascii="GHEA Grapalat" w:eastAsia="Times New Roman" w:hAnsi="GHEA Grapalat" w:cs="Times New Roman"/>
          <w:b/>
          <w:sz w:val="24"/>
          <w:szCs w:val="24"/>
          <w:lang w:val="hy-AM"/>
        </w:rPr>
        <w:t>1</w:t>
      </w:r>
      <w:r w:rsidR="003F269F" w:rsidRPr="003046BB">
        <w:rPr>
          <w:rFonts w:ascii="GHEA Grapalat" w:eastAsia="Times New Roman" w:hAnsi="GHEA Grapalat" w:cs="Times New Roman"/>
          <w:b/>
          <w:sz w:val="24"/>
          <w:szCs w:val="24"/>
          <w:lang w:val="hy-AM"/>
        </w:rPr>
        <w:t>.</w:t>
      </w:r>
      <w:r w:rsidRPr="003046BB">
        <w:rPr>
          <w:rFonts w:ascii="GHEA Grapalat" w:eastAsia="Times New Roman" w:hAnsi="GHEA Grapalat" w:cs="Times New Roman"/>
          <w:sz w:val="24"/>
          <w:szCs w:val="24"/>
          <w:lang w:val="hy-AM"/>
        </w:rPr>
        <w:t xml:space="preserve"> </w:t>
      </w:r>
      <w:r w:rsidR="00055F79" w:rsidRPr="003046BB">
        <w:rPr>
          <w:rFonts w:ascii="GHEA Grapalat" w:eastAsia="Tahoma" w:hAnsi="GHEA Grapalat" w:cs="Tahoma"/>
          <w:color w:val="000000"/>
          <w:sz w:val="24"/>
          <w:szCs w:val="24"/>
          <w:lang w:val="hy-AM"/>
        </w:rPr>
        <w:t xml:space="preserve">Հայաստանի Հանրապետության 1985 թվականի դեկտեմբերի 6-ի </w:t>
      </w:r>
      <w:r w:rsidR="00390ECD">
        <w:rPr>
          <w:rFonts w:ascii="GHEA Grapalat" w:eastAsia="Tahoma" w:hAnsi="GHEA Grapalat" w:cs="Tahoma"/>
          <w:color w:val="000000"/>
          <w:sz w:val="24"/>
          <w:szCs w:val="24"/>
          <w:lang w:val="hy-AM"/>
        </w:rPr>
        <w:t>Վ</w:t>
      </w:r>
      <w:r w:rsidR="002B176A" w:rsidRPr="003046BB">
        <w:rPr>
          <w:rFonts w:ascii="GHEA Grapalat" w:eastAsia="Tahoma" w:hAnsi="GHEA Grapalat" w:cs="Tahoma"/>
          <w:color w:val="000000"/>
          <w:sz w:val="24"/>
          <w:szCs w:val="24"/>
          <w:lang w:val="hy-AM"/>
        </w:rPr>
        <w:t>արչական իրավախախտումների վերաբերյալ ՀՀ օրենսգ</w:t>
      </w:r>
      <w:r w:rsidR="00953345" w:rsidRPr="003046BB">
        <w:rPr>
          <w:rFonts w:ascii="GHEA Grapalat" w:eastAsia="Tahoma" w:hAnsi="GHEA Grapalat" w:cs="Tahoma"/>
          <w:color w:val="000000"/>
          <w:sz w:val="24"/>
          <w:szCs w:val="24"/>
          <w:lang w:val="hy-AM"/>
        </w:rPr>
        <w:t>ր</w:t>
      </w:r>
      <w:r w:rsidR="002B176A" w:rsidRPr="003046BB">
        <w:rPr>
          <w:rFonts w:ascii="GHEA Grapalat" w:eastAsia="Tahoma" w:hAnsi="GHEA Grapalat" w:cs="Tahoma"/>
          <w:color w:val="000000"/>
          <w:sz w:val="24"/>
          <w:szCs w:val="24"/>
          <w:lang w:val="hy-AM"/>
        </w:rPr>
        <w:t>քի (այսուհետ՝ Օրենսգիրք)</w:t>
      </w:r>
      <w:r w:rsidR="00685257" w:rsidRPr="003046BB">
        <w:rPr>
          <w:rFonts w:ascii="GHEA Grapalat" w:eastAsia="Tahoma" w:hAnsi="GHEA Grapalat" w:cs="Tahoma"/>
          <w:color w:val="000000"/>
          <w:sz w:val="24"/>
          <w:szCs w:val="24"/>
          <w:lang w:val="hy-AM"/>
        </w:rPr>
        <w:t xml:space="preserve"> </w:t>
      </w:r>
      <w:r w:rsidR="00C44247" w:rsidRPr="003046BB">
        <w:rPr>
          <w:rFonts w:ascii="GHEA Grapalat" w:eastAsia="Tahoma" w:hAnsi="GHEA Grapalat" w:cs="Tahoma"/>
          <w:color w:val="000000"/>
          <w:sz w:val="24"/>
          <w:szCs w:val="24"/>
          <w:lang w:val="hy-AM"/>
        </w:rPr>
        <w:t>33-րդ</w:t>
      </w:r>
      <w:r w:rsidR="00685257" w:rsidRPr="003046BB">
        <w:rPr>
          <w:rFonts w:ascii="GHEA Grapalat" w:eastAsia="Tahoma" w:hAnsi="GHEA Grapalat" w:cs="Tahoma"/>
          <w:color w:val="000000"/>
          <w:sz w:val="24"/>
          <w:szCs w:val="24"/>
          <w:lang w:val="hy-AM"/>
        </w:rPr>
        <w:t xml:space="preserve"> հոդված</w:t>
      </w:r>
      <w:r w:rsidR="0027742E" w:rsidRPr="003046BB">
        <w:rPr>
          <w:rFonts w:ascii="GHEA Grapalat" w:eastAsia="Tahoma" w:hAnsi="GHEA Grapalat" w:cs="Tahoma"/>
          <w:color w:val="000000"/>
          <w:sz w:val="24"/>
          <w:szCs w:val="24"/>
          <w:lang w:val="hy-AM"/>
        </w:rPr>
        <w:t>ը</w:t>
      </w:r>
      <w:r w:rsidR="00987203" w:rsidRPr="003046BB">
        <w:rPr>
          <w:rFonts w:ascii="GHEA Grapalat" w:eastAsia="Tahoma" w:hAnsi="GHEA Grapalat" w:cs="Tahoma"/>
          <w:color w:val="000000"/>
          <w:sz w:val="24"/>
          <w:szCs w:val="24"/>
          <w:lang w:val="hy-AM"/>
        </w:rPr>
        <w:t xml:space="preserve"> </w:t>
      </w:r>
      <w:r w:rsidR="00987995" w:rsidRPr="003046BB">
        <w:rPr>
          <w:rFonts w:ascii="GHEA Grapalat" w:eastAsia="Tahoma" w:hAnsi="GHEA Grapalat" w:cs="Tahoma"/>
          <w:color w:val="000000"/>
          <w:sz w:val="24"/>
          <w:szCs w:val="24"/>
          <w:lang w:val="hy-AM"/>
        </w:rPr>
        <w:t>լրացնել</w:t>
      </w:r>
      <w:r w:rsidR="003A2697" w:rsidRPr="003046BB">
        <w:rPr>
          <w:rFonts w:ascii="GHEA Grapalat" w:eastAsia="Tahoma" w:hAnsi="GHEA Grapalat" w:cs="Tahoma"/>
          <w:color w:val="000000"/>
          <w:sz w:val="24"/>
          <w:szCs w:val="24"/>
          <w:lang w:val="hy-AM"/>
        </w:rPr>
        <w:t xml:space="preserve"> 6-րդ կետ</w:t>
      </w:r>
      <w:r w:rsidR="00390ECD">
        <w:rPr>
          <w:rFonts w:ascii="GHEA Grapalat" w:eastAsia="Tahoma" w:hAnsi="GHEA Grapalat" w:cs="Tahoma"/>
          <w:color w:val="000000"/>
          <w:sz w:val="24"/>
          <w:szCs w:val="24"/>
          <w:lang w:val="hy-AM"/>
        </w:rPr>
        <w:t>ով</w:t>
      </w:r>
      <w:r w:rsidR="0027742E" w:rsidRPr="003046BB">
        <w:rPr>
          <w:rFonts w:ascii="GHEA Grapalat" w:eastAsia="Tahoma" w:hAnsi="GHEA Grapalat" w:cs="Tahoma"/>
          <w:color w:val="000000"/>
          <w:sz w:val="24"/>
          <w:szCs w:val="24"/>
          <w:lang w:val="hy-AM"/>
        </w:rPr>
        <w:t>՝</w:t>
      </w:r>
      <w:r w:rsidR="00987203" w:rsidRPr="003046BB">
        <w:rPr>
          <w:rFonts w:ascii="GHEA Grapalat" w:eastAsia="Tahoma" w:hAnsi="GHEA Grapalat" w:cs="Tahoma"/>
          <w:color w:val="000000"/>
          <w:sz w:val="24"/>
          <w:szCs w:val="24"/>
          <w:lang w:val="hy-AM"/>
        </w:rPr>
        <w:t xml:space="preserve"> հետևյալ բովանդակությամբ.</w:t>
      </w:r>
    </w:p>
    <w:p w:rsidR="00C2570D" w:rsidRPr="003046BB" w:rsidRDefault="00390ECD" w:rsidP="006F7A7E">
      <w:pPr>
        <w:spacing w:after="0" w:line="360" w:lineRule="auto"/>
        <w:ind w:left="-180" w:right="-334"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w:t>
      </w:r>
      <w:r w:rsidR="00913AF2">
        <w:rPr>
          <w:rFonts w:ascii="GHEA Grapalat" w:eastAsia="Times New Roman" w:hAnsi="GHEA Grapalat" w:cs="Times New Roman"/>
          <w:sz w:val="24"/>
          <w:szCs w:val="24"/>
          <w:lang w:val="hy-AM"/>
        </w:rPr>
        <w:t>6</w:t>
      </w:r>
      <w:r w:rsidR="00913AF2" w:rsidRPr="00913AF2">
        <w:rPr>
          <w:rFonts w:ascii="GHEA Grapalat" w:eastAsia="Times New Roman" w:hAnsi="GHEA Grapalat" w:cs="Times New Roman"/>
          <w:sz w:val="24"/>
          <w:szCs w:val="24"/>
          <w:lang w:val="hy-AM"/>
        </w:rPr>
        <w:t xml:space="preserve">) </w:t>
      </w:r>
      <w:r w:rsidR="007328BB" w:rsidRPr="003046BB">
        <w:rPr>
          <w:rFonts w:ascii="GHEA Grapalat" w:eastAsia="Times New Roman" w:hAnsi="GHEA Grapalat" w:cs="Times New Roman"/>
          <w:sz w:val="24"/>
          <w:szCs w:val="24"/>
          <w:lang w:val="hy-AM"/>
        </w:rPr>
        <w:t>171.</w:t>
      </w:r>
      <w:r w:rsidR="003B303F" w:rsidRPr="003046BB">
        <w:rPr>
          <w:rFonts w:ascii="GHEA Grapalat" w:eastAsia="Times New Roman" w:hAnsi="GHEA Grapalat" w:cs="Times New Roman"/>
          <w:sz w:val="24"/>
          <w:szCs w:val="24"/>
          <w:lang w:val="hy-AM"/>
        </w:rPr>
        <w:t>1, 171.2, 171.3, 171.4,</w:t>
      </w:r>
      <w:r w:rsidR="00213B7B" w:rsidRPr="003046BB">
        <w:rPr>
          <w:rFonts w:ascii="GHEA Grapalat" w:eastAsia="Times New Roman" w:hAnsi="GHEA Grapalat" w:cs="Times New Roman"/>
          <w:sz w:val="24"/>
          <w:szCs w:val="24"/>
          <w:lang w:val="hy-AM"/>
        </w:rPr>
        <w:t xml:space="preserve"> և 171.5</w:t>
      </w:r>
      <w:r w:rsidR="003B303F" w:rsidRPr="003046BB">
        <w:rPr>
          <w:rFonts w:ascii="GHEA Grapalat" w:eastAsia="Times New Roman" w:hAnsi="GHEA Grapalat" w:cs="Times New Roman"/>
          <w:sz w:val="24"/>
          <w:szCs w:val="24"/>
          <w:lang w:val="hy-AM"/>
        </w:rPr>
        <w:t xml:space="preserve"> </w:t>
      </w:r>
      <w:r w:rsidR="00C72E3A" w:rsidRPr="003046BB">
        <w:rPr>
          <w:rFonts w:ascii="GHEA Grapalat" w:eastAsia="Times New Roman" w:hAnsi="GHEA Grapalat" w:cs="Times New Roman"/>
          <w:sz w:val="24"/>
          <w:szCs w:val="24"/>
          <w:lang w:val="hy-AM"/>
        </w:rPr>
        <w:t>հոդվածներով նախատեսված իրավախախտում</w:t>
      </w:r>
      <w:r w:rsidR="003B303F" w:rsidRPr="003046BB">
        <w:rPr>
          <w:rFonts w:ascii="GHEA Grapalat" w:eastAsia="Times New Roman" w:hAnsi="GHEA Grapalat" w:cs="Times New Roman"/>
          <w:sz w:val="24"/>
          <w:szCs w:val="24"/>
          <w:lang w:val="hy-AM"/>
        </w:rPr>
        <w:t>ները</w:t>
      </w:r>
      <w:r w:rsidR="00C72E3A" w:rsidRPr="003046BB">
        <w:rPr>
          <w:rFonts w:ascii="GHEA Grapalat" w:eastAsia="Times New Roman" w:hAnsi="GHEA Grapalat" w:cs="Times New Roman"/>
          <w:sz w:val="24"/>
          <w:szCs w:val="24"/>
          <w:lang w:val="hy-AM"/>
        </w:rPr>
        <w:t xml:space="preserve"> կատարելուց առաջ </w:t>
      </w:r>
      <w:r w:rsidR="00101A3D" w:rsidRPr="003046BB">
        <w:rPr>
          <w:rFonts w:ascii="GHEA Grapalat" w:eastAsia="Times New Roman" w:hAnsi="GHEA Grapalat" w:cs="Times New Roman"/>
          <w:sz w:val="24"/>
          <w:szCs w:val="24"/>
          <w:lang w:val="hy-AM"/>
        </w:rPr>
        <w:t>հակամենաշնորհային օրենսդրության պահանջներին համապատասխանության ներքին ապահովման համակարգի (հակամենաշնորհային կոմպլեանս) ներդրումը և կիրարկումը, այդ թվում հակամենաշնորհային օրենսդրության խախտումների դադարեցումը։</w:t>
      </w:r>
      <w:r>
        <w:rPr>
          <w:rFonts w:ascii="GHEA Grapalat" w:eastAsia="Times New Roman" w:hAnsi="GHEA Grapalat" w:cs="Times New Roman"/>
          <w:sz w:val="24"/>
          <w:szCs w:val="24"/>
          <w:lang w:val="hy-AM"/>
        </w:rPr>
        <w:t>»:</w:t>
      </w:r>
    </w:p>
    <w:p w:rsidR="005D0EE8" w:rsidRPr="003046BB" w:rsidRDefault="00101A3D"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b/>
          <w:sz w:val="24"/>
          <w:szCs w:val="24"/>
          <w:lang w:val="hy-AM"/>
        </w:rPr>
        <w:t xml:space="preserve">Հոդված </w:t>
      </w:r>
      <w:r w:rsidR="00260DCB" w:rsidRPr="003046BB">
        <w:rPr>
          <w:rFonts w:ascii="GHEA Grapalat" w:eastAsia="Times New Roman" w:hAnsi="GHEA Grapalat" w:cs="Times New Roman"/>
          <w:b/>
          <w:sz w:val="24"/>
          <w:szCs w:val="24"/>
          <w:lang w:val="hy-AM"/>
        </w:rPr>
        <w:t>2</w:t>
      </w:r>
      <w:r w:rsidR="003F269F" w:rsidRPr="003046BB">
        <w:rPr>
          <w:rFonts w:ascii="GHEA Grapalat" w:eastAsia="Times New Roman" w:hAnsi="GHEA Grapalat" w:cs="Times New Roman"/>
          <w:b/>
          <w:sz w:val="24"/>
          <w:szCs w:val="24"/>
          <w:lang w:val="hy-AM"/>
        </w:rPr>
        <w:t>.</w:t>
      </w:r>
      <w:r w:rsidRPr="003046BB">
        <w:rPr>
          <w:rFonts w:ascii="GHEA Grapalat" w:eastAsia="Times New Roman" w:hAnsi="GHEA Grapalat" w:cs="Times New Roman"/>
          <w:b/>
          <w:sz w:val="24"/>
          <w:szCs w:val="24"/>
          <w:lang w:val="hy-AM"/>
        </w:rPr>
        <w:t xml:space="preserve"> </w:t>
      </w:r>
      <w:r w:rsidR="00390ECD">
        <w:rPr>
          <w:rFonts w:ascii="GHEA Grapalat" w:eastAsia="Times New Roman" w:hAnsi="GHEA Grapalat" w:cs="Times New Roman"/>
          <w:sz w:val="24"/>
          <w:szCs w:val="24"/>
          <w:lang w:val="hy-AM"/>
        </w:rPr>
        <w:t>Օրենսգիրքը լր</w:t>
      </w:r>
      <w:r w:rsidR="005D0EE8" w:rsidRPr="003046BB">
        <w:rPr>
          <w:rFonts w:ascii="GHEA Grapalat" w:eastAsia="Times New Roman" w:hAnsi="GHEA Grapalat" w:cs="Times New Roman"/>
          <w:sz w:val="24"/>
          <w:szCs w:val="24"/>
          <w:lang w:val="hy-AM"/>
        </w:rPr>
        <w:t>ացնել</w:t>
      </w:r>
      <w:r w:rsidR="007328BB" w:rsidRPr="003046BB">
        <w:rPr>
          <w:rFonts w:ascii="GHEA Grapalat" w:eastAsia="Times New Roman" w:hAnsi="GHEA Grapalat" w:cs="Times New Roman"/>
          <w:sz w:val="24"/>
          <w:szCs w:val="24"/>
          <w:lang w:val="hy-AM"/>
        </w:rPr>
        <w:t xml:space="preserve"> </w:t>
      </w:r>
      <w:r w:rsidR="00987995" w:rsidRPr="003046BB">
        <w:rPr>
          <w:rFonts w:ascii="GHEA Grapalat" w:eastAsia="Times New Roman" w:hAnsi="GHEA Grapalat" w:cs="Times New Roman"/>
          <w:sz w:val="24"/>
          <w:szCs w:val="24"/>
          <w:lang w:val="hy-AM"/>
        </w:rPr>
        <w:t>171.12</w:t>
      </w:r>
      <w:r w:rsidR="00390ECD">
        <w:rPr>
          <w:rFonts w:ascii="GHEA Grapalat" w:eastAsia="Times New Roman" w:hAnsi="GHEA Grapalat" w:cs="Times New Roman"/>
          <w:sz w:val="24"/>
          <w:szCs w:val="24"/>
          <w:lang w:val="hy-AM"/>
        </w:rPr>
        <w:t>-րդ</w:t>
      </w:r>
      <w:r w:rsidR="00987995" w:rsidRPr="003046BB">
        <w:rPr>
          <w:rFonts w:ascii="GHEA Grapalat" w:eastAsia="Times New Roman" w:hAnsi="GHEA Grapalat" w:cs="Times New Roman"/>
          <w:sz w:val="24"/>
          <w:szCs w:val="24"/>
          <w:lang w:val="hy-AM"/>
        </w:rPr>
        <w:t xml:space="preserve"> </w:t>
      </w:r>
      <w:r w:rsidR="00390ECD">
        <w:rPr>
          <w:rFonts w:ascii="GHEA Grapalat" w:eastAsia="Times New Roman" w:hAnsi="GHEA Grapalat" w:cs="Times New Roman"/>
          <w:sz w:val="24"/>
          <w:szCs w:val="24"/>
          <w:lang w:val="hy-AM"/>
        </w:rPr>
        <w:t>հոդվածով՝</w:t>
      </w:r>
      <w:r w:rsidR="005D0EE8" w:rsidRPr="003046BB">
        <w:rPr>
          <w:rFonts w:ascii="GHEA Grapalat" w:eastAsia="Times New Roman" w:hAnsi="GHEA Grapalat" w:cs="Times New Roman"/>
          <w:sz w:val="24"/>
          <w:szCs w:val="24"/>
          <w:lang w:val="hy-AM"/>
        </w:rPr>
        <w:t xml:space="preserve"> հետևյալ բովանդակությամբ.</w:t>
      </w:r>
    </w:p>
    <w:p w:rsidR="00101A3D" w:rsidRPr="003046BB" w:rsidRDefault="00390ECD" w:rsidP="006F7A7E">
      <w:pPr>
        <w:spacing w:after="0" w:line="360" w:lineRule="auto"/>
        <w:ind w:left="-180" w:right="-334" w:firstLine="720"/>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 xml:space="preserve">«Հոդված 171.12. </w:t>
      </w:r>
      <w:r w:rsidR="003A6947" w:rsidRPr="003046BB">
        <w:rPr>
          <w:rFonts w:ascii="GHEA Grapalat" w:eastAsia="Times New Roman" w:hAnsi="GHEA Grapalat" w:cs="Times New Roman"/>
          <w:b/>
          <w:sz w:val="24"/>
          <w:szCs w:val="24"/>
          <w:lang w:val="hy-AM"/>
        </w:rPr>
        <w:t>Տնտեսական մրցակցության պաշտպանության</w:t>
      </w:r>
      <w:r w:rsidR="00661805" w:rsidRPr="003046BB">
        <w:rPr>
          <w:rFonts w:ascii="GHEA Grapalat" w:eastAsia="Times New Roman" w:hAnsi="GHEA Grapalat" w:cs="Times New Roman"/>
          <w:b/>
          <w:sz w:val="24"/>
          <w:szCs w:val="24"/>
          <w:lang w:val="hy-AM"/>
        </w:rPr>
        <w:t xml:space="preserve"> օրենսդրության պահանջներին համապատասխանության ներքին ապահովման համակարգի (հակամենաշնորհային կոմպլեանս)</w:t>
      </w:r>
      <w:r w:rsidR="00E240A3" w:rsidRPr="003046BB">
        <w:rPr>
          <w:rFonts w:ascii="GHEA Grapalat" w:eastAsia="Times New Roman" w:hAnsi="GHEA Grapalat" w:cs="Times New Roman"/>
          <w:b/>
          <w:sz w:val="24"/>
          <w:szCs w:val="24"/>
          <w:lang w:val="hy-AM"/>
        </w:rPr>
        <w:t xml:space="preserve"> ներդրմանն ուղղված ներքին ակտերի ընդունման </w:t>
      </w:r>
      <w:r w:rsidR="005C35C5" w:rsidRPr="003046BB">
        <w:rPr>
          <w:rFonts w:ascii="GHEA Grapalat" w:eastAsia="Times New Roman" w:hAnsi="GHEA Grapalat" w:cs="Times New Roman"/>
          <w:b/>
          <w:sz w:val="24"/>
          <w:szCs w:val="24"/>
          <w:lang w:val="hy-AM"/>
        </w:rPr>
        <w:t>պահանջ</w:t>
      </w:r>
      <w:r w:rsidR="00E240A3" w:rsidRPr="003046BB">
        <w:rPr>
          <w:rFonts w:ascii="GHEA Grapalat" w:eastAsia="Times New Roman" w:hAnsi="GHEA Grapalat" w:cs="Times New Roman"/>
          <w:b/>
          <w:sz w:val="24"/>
          <w:szCs w:val="24"/>
          <w:lang w:val="hy-AM"/>
        </w:rPr>
        <w:t>ի</w:t>
      </w:r>
      <w:r w:rsidR="005C35C5" w:rsidRPr="003046BB">
        <w:rPr>
          <w:rFonts w:ascii="GHEA Grapalat" w:eastAsia="Times New Roman" w:hAnsi="GHEA Grapalat" w:cs="Times New Roman"/>
          <w:b/>
          <w:sz w:val="24"/>
          <w:szCs w:val="24"/>
          <w:lang w:val="hy-AM"/>
        </w:rPr>
        <w:t xml:space="preserve"> չկատարումը</w:t>
      </w:r>
    </w:p>
    <w:p w:rsidR="00150A9C" w:rsidRPr="003046BB" w:rsidRDefault="00C66CA6" w:rsidP="006F7A7E">
      <w:pPr>
        <w:spacing w:after="0" w:line="360" w:lineRule="auto"/>
        <w:ind w:left="-180" w:right="-334" w:firstLine="720"/>
        <w:jc w:val="both"/>
        <w:rPr>
          <w:rFonts w:ascii="GHEA Grapalat" w:eastAsia="Times New Roman" w:hAnsi="GHEA Grapalat" w:cs="Times New Roman"/>
          <w:sz w:val="24"/>
          <w:szCs w:val="24"/>
          <w:lang w:val="hy-AM"/>
        </w:rPr>
      </w:pPr>
      <w:r w:rsidRPr="003046BB">
        <w:rPr>
          <w:rFonts w:ascii="GHEA Grapalat" w:eastAsia="Times New Roman" w:hAnsi="GHEA Grapalat" w:cs="Times New Roman"/>
          <w:sz w:val="24"/>
          <w:szCs w:val="24"/>
          <w:lang w:val="hy-AM"/>
        </w:rPr>
        <w:t>Հակամենաշնորհային օրենսդրության պահանջներին համապատասխանության ներքին ապահովման համակարգի (հակամենաշնորհային կոմպլեանս) ներդրմանն ուղղված ներքին ակտերի ընդունման պահանջի չկատարումը</w:t>
      </w:r>
      <w:r w:rsidR="00E6409C" w:rsidRPr="003046BB">
        <w:rPr>
          <w:rFonts w:ascii="GHEA Grapalat" w:eastAsia="Times New Roman" w:hAnsi="GHEA Grapalat" w:cs="Times New Roman"/>
          <w:sz w:val="24"/>
          <w:szCs w:val="24"/>
          <w:lang w:val="hy-AM"/>
        </w:rPr>
        <w:t>, եթե</w:t>
      </w:r>
      <w:r w:rsidRPr="003046BB">
        <w:rPr>
          <w:rFonts w:ascii="GHEA Grapalat" w:eastAsia="Times New Roman" w:hAnsi="GHEA Grapalat" w:cs="Times New Roman"/>
          <w:sz w:val="24"/>
          <w:szCs w:val="24"/>
          <w:lang w:val="hy-AM"/>
        </w:rPr>
        <w:t xml:space="preserve"> այդ ակտերի ընդուն</w:t>
      </w:r>
      <w:r w:rsidR="00E6409C" w:rsidRPr="003046BB">
        <w:rPr>
          <w:rFonts w:ascii="GHEA Grapalat" w:eastAsia="Times New Roman" w:hAnsi="GHEA Grapalat" w:cs="Times New Roman"/>
          <w:sz w:val="24"/>
          <w:szCs w:val="24"/>
          <w:lang w:val="hy-AM"/>
        </w:rPr>
        <w:t xml:space="preserve">ման պարտադիր պահանջը նախատեսված է </w:t>
      </w:r>
      <w:r w:rsidR="003F269F" w:rsidRPr="003046BB">
        <w:rPr>
          <w:rFonts w:ascii="GHEA Grapalat" w:hAnsi="GHEA Grapalat"/>
          <w:sz w:val="24"/>
          <w:szCs w:val="24"/>
          <w:lang w:val="hy-AM"/>
        </w:rPr>
        <w:t>«</w:t>
      </w:r>
      <w:r w:rsidR="003F269F" w:rsidRPr="003046BB">
        <w:rPr>
          <w:rFonts w:ascii="GHEA Grapalat" w:hAnsi="GHEA Grapalat" w:cs="Arial"/>
          <w:color w:val="000000"/>
          <w:sz w:val="24"/>
          <w:szCs w:val="24"/>
          <w:shd w:val="clear" w:color="auto" w:fill="FFFFFF"/>
          <w:lang w:val="hy-AM"/>
        </w:rPr>
        <w:t>Տնտեսական մրցակցության պաշտպանության մասին</w:t>
      </w:r>
      <w:r w:rsidR="003F269F" w:rsidRPr="003046BB">
        <w:rPr>
          <w:rFonts w:ascii="GHEA Grapalat" w:hAnsi="GHEA Grapalat"/>
          <w:sz w:val="24"/>
          <w:szCs w:val="24"/>
          <w:lang w:val="hy-AM"/>
        </w:rPr>
        <w:t>»</w:t>
      </w:r>
      <w:r w:rsidR="003F269F" w:rsidRPr="003046BB">
        <w:rPr>
          <w:rFonts w:ascii="GHEA Grapalat" w:hAnsi="GHEA Grapalat" w:cs="GHEA Grapalat"/>
          <w:sz w:val="24"/>
          <w:szCs w:val="24"/>
          <w:lang w:val="hy-AM"/>
        </w:rPr>
        <w:t xml:space="preserve"> </w:t>
      </w:r>
      <w:r w:rsidR="003F269F" w:rsidRPr="003046BB">
        <w:rPr>
          <w:rFonts w:ascii="GHEA Grapalat" w:eastAsia="Times New Roman" w:hAnsi="GHEA Grapalat" w:cs="Times New Roman"/>
          <w:sz w:val="24"/>
          <w:szCs w:val="24"/>
          <w:lang w:val="hy-AM"/>
        </w:rPr>
        <w:t xml:space="preserve">Հայաստանի </w:t>
      </w:r>
      <w:r w:rsidR="003F269F" w:rsidRPr="003046BB">
        <w:rPr>
          <w:rFonts w:ascii="GHEA Grapalat" w:hAnsi="GHEA Grapalat" w:cs="Arial"/>
          <w:color w:val="000000"/>
          <w:sz w:val="24"/>
          <w:szCs w:val="24"/>
          <w:shd w:val="clear" w:color="auto" w:fill="FFFFFF"/>
          <w:lang w:val="hy-AM"/>
        </w:rPr>
        <w:t>Հանրապետության</w:t>
      </w:r>
      <w:r w:rsidR="003F269F" w:rsidRPr="003046BB">
        <w:rPr>
          <w:rFonts w:ascii="GHEA Grapalat" w:eastAsia="Times New Roman" w:hAnsi="GHEA Grapalat" w:cs="Times New Roman"/>
          <w:sz w:val="24"/>
          <w:szCs w:val="24"/>
          <w:lang w:val="hy-AM"/>
        </w:rPr>
        <w:t xml:space="preserve"> </w:t>
      </w:r>
      <w:r w:rsidR="008C02E7" w:rsidRPr="003046BB">
        <w:rPr>
          <w:rFonts w:ascii="GHEA Grapalat" w:eastAsia="Times New Roman" w:hAnsi="GHEA Grapalat" w:cs="Times New Roman"/>
          <w:sz w:val="24"/>
          <w:szCs w:val="24"/>
          <w:lang w:val="hy-AM"/>
        </w:rPr>
        <w:t>օրենսդրությամբ</w:t>
      </w:r>
      <w:r w:rsidR="003F269F" w:rsidRPr="003046BB">
        <w:rPr>
          <w:rFonts w:ascii="GHEA Grapalat" w:eastAsia="Times New Roman" w:hAnsi="GHEA Grapalat" w:cs="Times New Roman"/>
          <w:sz w:val="24"/>
          <w:szCs w:val="24"/>
          <w:lang w:val="hy-AM"/>
        </w:rPr>
        <w:t xml:space="preserve"> </w:t>
      </w:r>
      <w:r w:rsidR="00150A9C" w:rsidRPr="003046BB">
        <w:rPr>
          <w:rFonts w:ascii="GHEA Grapalat" w:eastAsia="Times New Roman" w:hAnsi="GHEA Grapalat" w:cs="Times New Roman"/>
          <w:sz w:val="24"/>
          <w:szCs w:val="24"/>
          <w:lang w:val="hy-AM"/>
        </w:rPr>
        <w:t xml:space="preserve">առաջացնում է նախազգուշացում կամ տուգանքի </w:t>
      </w:r>
      <w:r w:rsidR="00150A9C" w:rsidRPr="003046BB">
        <w:rPr>
          <w:rFonts w:ascii="GHEA Grapalat" w:eastAsia="Times New Roman" w:hAnsi="GHEA Grapalat" w:cs="Times New Roman"/>
          <w:sz w:val="24"/>
          <w:szCs w:val="24"/>
          <w:lang w:val="hy-AM"/>
        </w:rPr>
        <w:lastRenderedPageBreak/>
        <w:t>նշանակում` սահմանված նվազագույն աշխատավարձի երեքհազարապատիկից մինչև հինգհազարապատիկի չափով:</w:t>
      </w:r>
    </w:p>
    <w:p w:rsidR="00DF078F" w:rsidRPr="003046BB" w:rsidRDefault="00927707" w:rsidP="006F7A7E">
      <w:pPr>
        <w:spacing w:after="0" w:line="360" w:lineRule="auto"/>
        <w:ind w:left="-180" w:right="-334" w:firstLine="720"/>
        <w:jc w:val="both"/>
        <w:rPr>
          <w:rFonts w:ascii="GHEA Grapalat" w:hAnsi="GHEA Grapalat"/>
          <w:sz w:val="24"/>
          <w:szCs w:val="24"/>
          <w:lang w:val="hy-AM"/>
        </w:rPr>
      </w:pPr>
      <w:r w:rsidRPr="003046BB">
        <w:rPr>
          <w:rFonts w:ascii="GHEA Grapalat" w:hAnsi="GHEA Grapalat" w:cs="Sylfaen"/>
          <w:color w:val="000000"/>
          <w:sz w:val="24"/>
          <w:szCs w:val="24"/>
          <w:lang w:val="hy-AM"/>
        </w:rPr>
        <w:t>Սույն</w:t>
      </w:r>
      <w:r w:rsidRPr="003046BB">
        <w:rPr>
          <w:rFonts w:ascii="GHEA Grapalat" w:hAnsi="GHEA Grapalat"/>
          <w:color w:val="000000"/>
          <w:sz w:val="24"/>
          <w:szCs w:val="24"/>
          <w:lang w:val="hy-AM"/>
        </w:rPr>
        <w:t xml:space="preserve"> </w:t>
      </w:r>
      <w:r w:rsidR="00E77EE3" w:rsidRPr="003046BB">
        <w:rPr>
          <w:rFonts w:ascii="GHEA Grapalat" w:hAnsi="GHEA Grapalat" w:cs="Sylfaen"/>
          <w:color w:val="000000"/>
          <w:sz w:val="24"/>
          <w:szCs w:val="24"/>
          <w:lang w:val="hy-AM"/>
        </w:rPr>
        <w:t>հոդվածով սահմանված վարչական իրավախախտման համար</w:t>
      </w:r>
      <w:r w:rsidRPr="003046BB">
        <w:rPr>
          <w:rFonts w:ascii="GHEA Grapalat" w:hAnsi="GHEA Grapalat"/>
          <w:color w:val="000000"/>
          <w:sz w:val="24"/>
          <w:szCs w:val="24"/>
          <w:lang w:val="hy-AM"/>
        </w:rPr>
        <w:t xml:space="preserve"> </w:t>
      </w:r>
      <w:r w:rsidR="00E77EE3" w:rsidRPr="003046BB">
        <w:rPr>
          <w:rFonts w:ascii="GHEA Grapalat" w:hAnsi="GHEA Grapalat"/>
          <w:color w:val="000000"/>
          <w:sz w:val="24"/>
          <w:szCs w:val="24"/>
          <w:lang w:val="hy-AM"/>
        </w:rPr>
        <w:t>վարչական պատ</w:t>
      </w:r>
      <w:r w:rsidR="00A37CED">
        <w:rPr>
          <w:rFonts w:ascii="GHEA Grapalat" w:hAnsi="GHEA Grapalat"/>
          <w:color w:val="000000"/>
          <w:sz w:val="24"/>
          <w:szCs w:val="24"/>
          <w:lang w:val="hy-AM"/>
        </w:rPr>
        <w:t>ա</w:t>
      </w:r>
      <w:r w:rsidR="00E77EE3" w:rsidRPr="003046BB">
        <w:rPr>
          <w:rFonts w:ascii="GHEA Grapalat" w:hAnsi="GHEA Grapalat"/>
          <w:color w:val="000000"/>
          <w:sz w:val="24"/>
          <w:szCs w:val="24"/>
          <w:lang w:val="hy-AM"/>
        </w:rPr>
        <w:t xml:space="preserve">սխանատվության ենթարկելիս հաշվի են առնվում </w:t>
      </w:r>
      <w:r w:rsidR="003F269F" w:rsidRPr="003046BB">
        <w:rPr>
          <w:rFonts w:ascii="GHEA Grapalat" w:hAnsi="GHEA Grapalat"/>
          <w:color w:val="000000"/>
          <w:sz w:val="24"/>
          <w:szCs w:val="24"/>
          <w:lang w:val="hy-AM"/>
        </w:rPr>
        <w:t xml:space="preserve">Օրենսգրքի </w:t>
      </w:r>
      <w:r w:rsidR="00862A17" w:rsidRPr="003046BB">
        <w:rPr>
          <w:rFonts w:ascii="GHEA Grapalat" w:hAnsi="GHEA Grapalat"/>
          <w:color w:val="000000"/>
          <w:sz w:val="24"/>
          <w:szCs w:val="24"/>
          <w:lang w:val="hy-AM"/>
        </w:rPr>
        <w:t xml:space="preserve">33-րդ </w:t>
      </w:r>
      <w:r w:rsidR="00E77EE3" w:rsidRPr="003046BB">
        <w:rPr>
          <w:rFonts w:ascii="GHEA Grapalat" w:hAnsi="GHEA Grapalat"/>
          <w:color w:val="000000"/>
          <w:sz w:val="24"/>
          <w:szCs w:val="24"/>
          <w:lang w:val="hy-AM"/>
        </w:rPr>
        <w:t>հոդված</w:t>
      </w:r>
      <w:r w:rsidR="00862A17" w:rsidRPr="003046BB">
        <w:rPr>
          <w:rFonts w:ascii="GHEA Grapalat" w:hAnsi="GHEA Grapalat"/>
          <w:color w:val="000000"/>
          <w:sz w:val="24"/>
          <w:szCs w:val="24"/>
          <w:lang w:val="hy-AM"/>
        </w:rPr>
        <w:t>ի 1-ին մասի 6-րդ կետով</w:t>
      </w:r>
      <w:r w:rsidR="00E77EE3" w:rsidRPr="003046BB">
        <w:rPr>
          <w:rFonts w:ascii="GHEA Grapalat" w:hAnsi="GHEA Grapalat"/>
          <w:color w:val="000000"/>
          <w:sz w:val="24"/>
          <w:szCs w:val="24"/>
          <w:lang w:val="hy-AM"/>
        </w:rPr>
        <w:t xml:space="preserve"> սահմանված մեղմացուցիչ հանգամանքները։</w:t>
      </w:r>
      <w:r w:rsidR="00390ECD">
        <w:rPr>
          <w:rFonts w:ascii="GHEA Grapalat" w:hAnsi="GHEA Grapalat"/>
          <w:color w:val="000000"/>
          <w:sz w:val="24"/>
          <w:szCs w:val="24"/>
          <w:lang w:val="hy-AM"/>
        </w:rPr>
        <w:t>»:</w:t>
      </w:r>
    </w:p>
    <w:p w:rsidR="00DF078F" w:rsidRPr="003046BB" w:rsidRDefault="00DF078F" w:rsidP="006F7A7E">
      <w:pPr>
        <w:ind w:left="-180" w:right="-334" w:firstLine="720"/>
        <w:rPr>
          <w:rFonts w:ascii="GHEA Grapalat" w:hAnsi="GHEA Grapalat"/>
          <w:sz w:val="24"/>
          <w:szCs w:val="24"/>
          <w:lang w:val="hy-AM"/>
        </w:rPr>
      </w:pPr>
      <w:r w:rsidRPr="003046BB">
        <w:rPr>
          <w:rFonts w:ascii="GHEA Grapalat" w:hAnsi="GHEA Grapalat"/>
          <w:sz w:val="24"/>
          <w:szCs w:val="24"/>
          <w:lang w:val="hy-AM"/>
        </w:rPr>
        <w:br w:type="page"/>
      </w:r>
    </w:p>
    <w:p w:rsidR="00CE7B07" w:rsidRPr="003046BB" w:rsidRDefault="00CE7B07" w:rsidP="006F7A7E">
      <w:pPr>
        <w:spacing w:line="360" w:lineRule="auto"/>
        <w:ind w:left="-180" w:right="-334"/>
        <w:jc w:val="center"/>
        <w:rPr>
          <w:rFonts w:ascii="GHEA Grapalat" w:eastAsia="Tahoma" w:hAnsi="GHEA Grapalat" w:cs="Tahoma"/>
          <w:b/>
          <w:color w:val="000000"/>
          <w:sz w:val="24"/>
          <w:szCs w:val="24"/>
          <w:lang w:val="hy-AM"/>
        </w:rPr>
      </w:pPr>
      <w:r w:rsidRPr="003046BB">
        <w:rPr>
          <w:rFonts w:ascii="GHEA Grapalat" w:eastAsia="Tahoma" w:hAnsi="GHEA Grapalat" w:cs="Tahoma"/>
          <w:b/>
          <w:color w:val="000000"/>
          <w:sz w:val="24"/>
          <w:szCs w:val="24"/>
          <w:lang w:val="hy-AM"/>
        </w:rPr>
        <w:lastRenderedPageBreak/>
        <w:t>ՀԻՄՆԱՎՈՐՈՒՄ</w:t>
      </w:r>
    </w:p>
    <w:p w:rsidR="0081580C" w:rsidRPr="003046BB" w:rsidRDefault="00CE7B07" w:rsidP="006F7A7E">
      <w:pPr>
        <w:spacing w:line="360" w:lineRule="auto"/>
        <w:ind w:left="-180" w:right="-334"/>
        <w:jc w:val="center"/>
        <w:rPr>
          <w:rFonts w:ascii="GHEA Grapalat" w:eastAsia="Tahoma" w:hAnsi="GHEA Grapalat" w:cs="Tahoma"/>
          <w:b/>
          <w:color w:val="000000"/>
          <w:sz w:val="24"/>
          <w:szCs w:val="24"/>
          <w:lang w:val="hy-AM"/>
        </w:rPr>
      </w:pPr>
      <w:r w:rsidRPr="003046BB">
        <w:rPr>
          <w:rFonts w:ascii="GHEA Grapalat" w:hAnsi="GHEA Grapalat" w:cs="GHEA Grapalat"/>
          <w:sz w:val="24"/>
          <w:szCs w:val="24"/>
          <w:lang w:val="hy-AM"/>
        </w:rPr>
        <w:t>«</w:t>
      </w:r>
      <w:r w:rsidR="0081580C" w:rsidRPr="003046BB">
        <w:rPr>
          <w:rFonts w:ascii="GHEA Grapalat" w:eastAsia="Tahoma" w:hAnsi="GHEA Grapalat" w:cs="Tahoma"/>
          <w:b/>
          <w:color w:val="000000"/>
          <w:sz w:val="24"/>
          <w:szCs w:val="24"/>
          <w:lang w:val="hy-AM"/>
        </w:rPr>
        <w:t>«ՏՆՏԵՍԱԿԱՆ ՄՐՑԱԿՑՈՒԹՅԱՆ ՊԱՇՏՊԱՆՈՒԹՅԱՆ</w:t>
      </w:r>
      <w:r w:rsidR="00913AF2" w:rsidRPr="00913AF2">
        <w:rPr>
          <w:rFonts w:ascii="GHEA Grapalat" w:eastAsia="Tahoma" w:hAnsi="GHEA Grapalat" w:cs="Tahoma"/>
          <w:b/>
          <w:color w:val="000000"/>
          <w:sz w:val="24"/>
          <w:szCs w:val="24"/>
          <w:lang w:val="hy-AM"/>
        </w:rPr>
        <w:t xml:space="preserve"> </w:t>
      </w:r>
      <w:r w:rsidR="00913AF2">
        <w:rPr>
          <w:rFonts w:ascii="GHEA Grapalat" w:eastAsia="Tahoma" w:hAnsi="GHEA Grapalat" w:cs="Tahoma"/>
          <w:b/>
          <w:color w:val="000000"/>
          <w:sz w:val="24"/>
          <w:szCs w:val="24"/>
          <w:lang w:val="hy-AM"/>
        </w:rPr>
        <w:t>ՄԱՍԻՆ</w:t>
      </w:r>
      <w:r w:rsidR="0081580C" w:rsidRPr="003046BB">
        <w:rPr>
          <w:rFonts w:ascii="GHEA Grapalat" w:eastAsia="Tahoma" w:hAnsi="GHEA Grapalat" w:cs="Tahoma"/>
          <w:b/>
          <w:color w:val="000000"/>
          <w:sz w:val="24"/>
          <w:szCs w:val="24"/>
          <w:lang w:val="hy-AM"/>
        </w:rPr>
        <w:t>»  ՀԱՅԱՍՏԱՆԻ ՀԱՆՐԱՊԵՏՈՒԹՅԱՆ ՕՐԵՆՔՈՒՄ ԼՐԱՑՈՒՄՆԵՐ ԿԱՏԱՐԵԼՈՒ ՄԱՍԻՆ</w:t>
      </w:r>
      <w:r w:rsidR="0081580C" w:rsidRPr="003046BB">
        <w:rPr>
          <w:rFonts w:ascii="GHEA Grapalat" w:eastAsia="Calibri" w:hAnsi="GHEA Grapalat"/>
          <w:sz w:val="24"/>
          <w:szCs w:val="24"/>
          <w:lang w:val="hy-AM"/>
        </w:rPr>
        <w:t xml:space="preserve">» </w:t>
      </w:r>
      <w:r w:rsidR="0081580C" w:rsidRPr="003046BB">
        <w:rPr>
          <w:rFonts w:ascii="GHEA Grapalat" w:eastAsia="Tahoma" w:hAnsi="GHEA Grapalat" w:cs="Tahoma"/>
          <w:b/>
          <w:color w:val="000000"/>
          <w:sz w:val="24"/>
          <w:szCs w:val="24"/>
          <w:lang w:val="hy-AM"/>
        </w:rPr>
        <w:t>ՀԱՅԱՍՏԱՆԻ ՀԱՆՐԱՊԵՏՈՒԹՅԱՆ ՕՐԵՆՔԻ</w:t>
      </w:r>
      <w:r w:rsidR="00913AF2">
        <w:rPr>
          <w:rFonts w:ascii="GHEA Grapalat" w:eastAsia="Tahoma" w:hAnsi="GHEA Grapalat" w:cs="Tahoma"/>
          <w:b/>
          <w:color w:val="000000"/>
          <w:sz w:val="24"/>
          <w:szCs w:val="24"/>
          <w:lang w:val="hy-AM"/>
        </w:rPr>
        <w:t xml:space="preserve"> ՆԱԽԱԳԾԻ</w:t>
      </w:r>
      <w:r w:rsidR="0081580C" w:rsidRPr="003046BB">
        <w:rPr>
          <w:rFonts w:ascii="GHEA Grapalat" w:eastAsia="Tahoma" w:hAnsi="GHEA Grapalat" w:cs="Tahoma"/>
          <w:b/>
          <w:color w:val="000000"/>
          <w:sz w:val="24"/>
          <w:szCs w:val="24"/>
          <w:lang w:val="hy-AM"/>
        </w:rPr>
        <w:t xml:space="preserve"> ԸՆԴՈՒՆՄԱՆ</w:t>
      </w:r>
    </w:p>
    <w:p w:rsidR="00CE7B07" w:rsidRPr="003046BB" w:rsidRDefault="00CE7B07" w:rsidP="006F7A7E">
      <w:pPr>
        <w:spacing w:line="360" w:lineRule="auto"/>
        <w:ind w:left="-180" w:right="-334" w:firstLine="630"/>
        <w:jc w:val="both"/>
        <w:rPr>
          <w:rFonts w:ascii="GHEA Grapalat" w:eastAsia="Calibri" w:hAnsi="GHEA Grapalat"/>
          <w:b/>
          <w:sz w:val="24"/>
          <w:szCs w:val="24"/>
          <w:lang w:val="hy-AM"/>
        </w:rPr>
      </w:pPr>
    </w:p>
    <w:p w:rsidR="00CE7B07" w:rsidRPr="00E63543" w:rsidRDefault="00CE7B07" w:rsidP="00E63543">
      <w:pPr>
        <w:pStyle w:val="ListParagraph"/>
        <w:numPr>
          <w:ilvl w:val="0"/>
          <w:numId w:val="13"/>
        </w:numPr>
        <w:spacing w:after="0" w:line="360" w:lineRule="auto"/>
        <w:ind w:left="-180" w:right="-334" w:firstLine="810"/>
        <w:jc w:val="both"/>
        <w:rPr>
          <w:rFonts w:ascii="GHEA Grapalat" w:hAnsi="GHEA Grapalat"/>
          <w:b/>
          <w:sz w:val="24"/>
          <w:szCs w:val="24"/>
          <w:lang w:val="hy-AM"/>
        </w:rPr>
      </w:pPr>
      <w:r w:rsidRPr="00E63543">
        <w:rPr>
          <w:rFonts w:ascii="GHEA Grapalat" w:hAnsi="GHEA Grapalat" w:cs="Sylfaen"/>
          <w:b/>
          <w:sz w:val="24"/>
          <w:szCs w:val="24"/>
          <w:lang w:val="hy-AM"/>
        </w:rPr>
        <w:t>Ընթացիկ</w:t>
      </w:r>
      <w:r w:rsidRPr="00E63543">
        <w:rPr>
          <w:rFonts w:ascii="GHEA Grapalat" w:hAnsi="GHEA Grapalat"/>
          <w:b/>
          <w:sz w:val="24"/>
          <w:szCs w:val="24"/>
          <w:lang w:val="hy-AM"/>
        </w:rPr>
        <w:t xml:space="preserve"> իրավիճակը և իրավական ակտի ընդունման անհրաժեշտությունը</w:t>
      </w:r>
    </w:p>
    <w:p w:rsidR="00F10F30" w:rsidRPr="003046BB" w:rsidRDefault="00F10F30" w:rsidP="006F7A7E">
      <w:pPr>
        <w:spacing w:after="0" w:line="360" w:lineRule="auto"/>
        <w:ind w:left="-180" w:right="-334" w:firstLine="720"/>
        <w:jc w:val="both"/>
        <w:rPr>
          <w:rFonts w:ascii="GHEA Grapalat" w:hAnsi="GHEA Grapalat"/>
          <w:b/>
          <w:sz w:val="24"/>
          <w:szCs w:val="24"/>
          <w:u w:val="single"/>
          <w:lang w:val="hy-AM"/>
        </w:rPr>
      </w:pPr>
    </w:p>
    <w:p w:rsidR="00400982" w:rsidRPr="003046BB" w:rsidRDefault="00400982" w:rsidP="006F7A7E">
      <w:pPr>
        <w:spacing w:after="0" w:line="360" w:lineRule="auto"/>
        <w:ind w:left="-180" w:right="-334" w:firstLine="720"/>
        <w:jc w:val="both"/>
        <w:rPr>
          <w:rFonts w:ascii="GHEA Grapalat" w:hAnsi="GHEA Grapalat"/>
          <w:sz w:val="24"/>
          <w:szCs w:val="24"/>
          <w:lang w:val="hy-AM"/>
        </w:rPr>
      </w:pPr>
      <w:r w:rsidRPr="003046BB">
        <w:rPr>
          <w:rFonts w:ascii="GHEA Grapalat" w:hAnsi="GHEA Grapalat"/>
          <w:sz w:val="24"/>
          <w:szCs w:val="24"/>
          <w:lang w:val="hy-AM"/>
        </w:rPr>
        <w:t xml:space="preserve">ՀՀ մարդու իրավունքների պաշտպանի աշխատակազմում </w:t>
      </w:r>
      <w:r w:rsidR="00951DE9" w:rsidRPr="003046BB">
        <w:rPr>
          <w:rFonts w:ascii="GHEA Grapalat" w:hAnsi="GHEA Grapalat"/>
          <w:sz w:val="24"/>
          <w:szCs w:val="24"/>
          <w:lang w:val="hy-AM"/>
        </w:rPr>
        <w:t>մշակվել է ««Տնտեսական մրցակցության պաշտպանության</w:t>
      </w:r>
      <w:r w:rsidR="000D54CC" w:rsidRPr="003046BB">
        <w:rPr>
          <w:rFonts w:ascii="GHEA Grapalat" w:hAnsi="GHEA Grapalat"/>
          <w:sz w:val="24"/>
          <w:szCs w:val="24"/>
          <w:lang w:val="hy-AM"/>
        </w:rPr>
        <w:t xml:space="preserve"> մասին</w:t>
      </w:r>
      <w:r w:rsidR="00951DE9" w:rsidRPr="003046BB">
        <w:rPr>
          <w:rFonts w:ascii="GHEA Grapalat" w:hAnsi="GHEA Grapalat"/>
          <w:sz w:val="24"/>
          <w:szCs w:val="24"/>
          <w:lang w:val="hy-AM"/>
        </w:rPr>
        <w:t xml:space="preserve">» Հայաստանի Հանրապետության օրենքում փոփոխություններ և լրացումներ կատարելու մասին» </w:t>
      </w:r>
      <w:r w:rsidR="00D52A90" w:rsidRPr="003046BB">
        <w:rPr>
          <w:rFonts w:ascii="GHEA Grapalat" w:hAnsi="GHEA Grapalat"/>
          <w:sz w:val="24"/>
          <w:szCs w:val="24"/>
          <w:lang w:val="hy-AM"/>
        </w:rPr>
        <w:t>ՀՀ օրենքի նախագիծը։</w:t>
      </w:r>
    </w:p>
    <w:p w:rsidR="00D52A90" w:rsidRPr="003046BB" w:rsidRDefault="00D52A90" w:rsidP="006F7A7E">
      <w:pPr>
        <w:spacing w:after="0" w:line="360" w:lineRule="auto"/>
        <w:ind w:left="-180" w:right="-334" w:firstLine="720"/>
        <w:jc w:val="both"/>
        <w:rPr>
          <w:rFonts w:ascii="GHEA Grapalat" w:hAnsi="GHEA Grapalat"/>
          <w:sz w:val="24"/>
          <w:szCs w:val="24"/>
          <w:lang w:val="hy-AM"/>
        </w:rPr>
      </w:pPr>
      <w:r w:rsidRPr="003046BB">
        <w:rPr>
          <w:rFonts w:ascii="GHEA Grapalat" w:hAnsi="GHEA Grapalat"/>
          <w:sz w:val="24"/>
          <w:szCs w:val="24"/>
          <w:lang w:val="hy-AM"/>
        </w:rPr>
        <w:t>Նախագծով առաջարկվում է</w:t>
      </w:r>
      <w:r w:rsidR="000D54CC" w:rsidRPr="003046BB">
        <w:rPr>
          <w:rFonts w:ascii="GHEA Grapalat" w:hAnsi="GHEA Grapalat"/>
          <w:sz w:val="24"/>
          <w:szCs w:val="24"/>
          <w:lang w:val="hy-AM"/>
        </w:rPr>
        <w:t xml:space="preserve"> «Տնտեսական մրցակցության պաշտպանության մասին» Հայաստանի Հանրապետության օրենք</w:t>
      </w:r>
      <w:r w:rsidR="00951D50" w:rsidRPr="003046BB">
        <w:rPr>
          <w:rFonts w:ascii="GHEA Grapalat" w:hAnsi="GHEA Grapalat"/>
          <w:sz w:val="24"/>
          <w:szCs w:val="24"/>
          <w:lang w:val="hy-AM"/>
        </w:rPr>
        <w:t>ը լրացնել նոր գլխով՝ գլուխ 5</w:t>
      </w:r>
      <w:r w:rsidR="00951D50" w:rsidRPr="003046BB">
        <w:rPr>
          <w:rFonts w:ascii="GHEA Grapalat" w:hAnsi="GHEA Grapalat"/>
          <w:sz w:val="24"/>
          <w:szCs w:val="24"/>
          <w:vertAlign w:val="superscript"/>
          <w:lang w:val="hy-AM"/>
        </w:rPr>
        <w:t>1</w:t>
      </w:r>
      <w:r w:rsidR="003A7A99" w:rsidRPr="003046BB">
        <w:rPr>
          <w:rFonts w:ascii="GHEA Grapalat" w:hAnsi="GHEA Grapalat"/>
          <w:sz w:val="24"/>
          <w:szCs w:val="24"/>
          <w:lang w:val="hy-AM"/>
        </w:rPr>
        <w:t xml:space="preserve">, </w:t>
      </w:r>
      <w:r w:rsidR="00F561E3" w:rsidRPr="003046BB">
        <w:rPr>
          <w:rFonts w:ascii="GHEA Grapalat" w:hAnsi="GHEA Grapalat"/>
          <w:sz w:val="24"/>
          <w:szCs w:val="24"/>
          <w:lang w:val="hy-AM"/>
        </w:rPr>
        <w:t>որով սահմանվում է տնտեսվարող սուբյեկտի համար հակամենաշնորհային կոմպլեանսի ներդրման հնարավորությունը։</w:t>
      </w:r>
    </w:p>
    <w:p w:rsidR="00AA25F5" w:rsidRPr="003046BB" w:rsidRDefault="00AA25F5"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Բանն այն է, որ ՀՀ Սահմանադրությամբ ամրագրված է հանրային շահերի պաշտպանության նպատակով մենաշնորհի հնարավոր տեսակները և դրանց թույլատրելի չափերը օրենքով սահմանելու հնարավորությունը։</w:t>
      </w:r>
      <w:r w:rsidR="00C73D86" w:rsidRPr="003046BB">
        <w:rPr>
          <w:rFonts w:ascii="GHEA Grapalat" w:hAnsi="GHEA Grapalat" w:cs="Arial"/>
          <w:color w:val="000000"/>
          <w:sz w:val="24"/>
          <w:szCs w:val="24"/>
          <w:shd w:val="clear" w:color="auto" w:fill="FFFFFF"/>
          <w:lang w:val="hy-AM"/>
        </w:rPr>
        <w:t xml:space="preserve"> </w:t>
      </w:r>
      <w:r w:rsidRPr="003046BB">
        <w:rPr>
          <w:rFonts w:ascii="GHEA Grapalat" w:hAnsi="GHEA Grapalat" w:cs="Arial"/>
          <w:color w:val="000000"/>
          <w:sz w:val="24"/>
          <w:szCs w:val="24"/>
          <w:shd w:val="clear" w:color="auto" w:fill="FFFFFF"/>
          <w:lang w:val="hy-AM"/>
        </w:rPr>
        <w:t>2000 թվականի նոյեմբերի 6-ի «Տնտեսական մրցակցության պաշտպանության մասին» ՀՀ օրենքը տարածվում է տնտեսվարող սուբյեկտների, պետական մարմինների, ինչպես նաև դրանց պաշտոնատար անձանց այն գործողությունների կամ վարքագծի վրա, որոնք հանգեցնում են կամ կարող են հանգեցնել տնտեսական մրցակցության սահմանափակմանը, կանխմանը, արգելմանը կամ անբարեխիղճ մրցակցության գործողությանը, բացառությամբ օրենքով նախատեսված դեպքերի, ինչպես նաև վնասել սպառողների շահերը:</w:t>
      </w:r>
    </w:p>
    <w:p w:rsidR="00AA25F5" w:rsidRPr="003046BB" w:rsidRDefault="00C73D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Նշված օ</w:t>
      </w:r>
      <w:r w:rsidR="00AA25F5" w:rsidRPr="003046BB">
        <w:rPr>
          <w:rFonts w:ascii="GHEA Grapalat" w:hAnsi="GHEA Grapalat" w:cs="Arial"/>
          <w:color w:val="000000"/>
          <w:sz w:val="24"/>
          <w:szCs w:val="24"/>
          <w:shd w:val="clear" w:color="auto" w:fill="FFFFFF"/>
          <w:lang w:val="hy-AM"/>
        </w:rPr>
        <w:t xml:space="preserve">րենքի նպատակն է պաշտպանել և խրախուսել ազատ տնտեսական մրցակցությունը, ապահովել բարեխիղճ մրցակցության համար անհրաժեշտ </w:t>
      </w:r>
      <w:r w:rsidR="00AA25F5" w:rsidRPr="003046BB">
        <w:rPr>
          <w:rFonts w:ascii="GHEA Grapalat" w:hAnsi="GHEA Grapalat" w:cs="Arial"/>
          <w:color w:val="000000"/>
          <w:sz w:val="24"/>
          <w:szCs w:val="24"/>
          <w:shd w:val="clear" w:color="auto" w:fill="FFFFFF"/>
          <w:lang w:val="hy-AM"/>
        </w:rPr>
        <w:lastRenderedPageBreak/>
        <w:t>միջավայր, նպաստել ձեռնարկատիրության զարգացմանը և սպառողների շահերի պաշտպանությանը Հայաստանի Հանրապետությունում:</w:t>
      </w:r>
    </w:p>
    <w:p w:rsidR="00EE182B" w:rsidRPr="003046BB" w:rsidRDefault="00EE182B"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Մինչդեռ</w:t>
      </w:r>
      <w:r w:rsidR="00922F19" w:rsidRPr="003046BB">
        <w:rPr>
          <w:rFonts w:ascii="GHEA Grapalat" w:hAnsi="GHEA Grapalat" w:cs="Arial"/>
          <w:color w:val="000000"/>
          <w:sz w:val="24"/>
          <w:szCs w:val="24"/>
          <w:shd w:val="clear" w:color="auto" w:fill="FFFFFF"/>
          <w:lang w:val="hy-AM"/>
        </w:rPr>
        <w:t>,</w:t>
      </w:r>
      <w:r w:rsidRPr="003046BB">
        <w:rPr>
          <w:rFonts w:ascii="GHEA Grapalat" w:hAnsi="GHEA Grapalat" w:cs="Arial"/>
          <w:color w:val="000000"/>
          <w:sz w:val="24"/>
          <w:szCs w:val="24"/>
          <w:shd w:val="clear" w:color="auto" w:fill="FFFFFF"/>
          <w:lang w:val="hy-AM"/>
        </w:rPr>
        <w:t xml:space="preserve"> ներկայիս միջազգային պրակտիկայում հակամենաշնորհային օրենսդրությունը մշտապես զարգանում և բարդանում է: Հակամենաշնորհային օրենսդրության պահանջների խախտումների հայտնաբերման դեպքում սահմանվում են խիստ պատժամիջոցներ, որոնց կիրառումը մեծ վնաս կարող է հասցնել կազմակերպությունների գործարար համբավին:</w:t>
      </w:r>
    </w:p>
    <w:p w:rsidR="00C14936" w:rsidRPr="003046BB" w:rsidRDefault="00C14936" w:rsidP="00C14936">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Կոմպլեանսի՝ որպես հակամենաշնորհային քաղաքականության գործիքի ներդրումը մեր իրավական համակարգում հնարավոր է Տնտեսական մրցակցության պաշտպանության պետական հանձնաժողովի լիազորության օրենսդրական ամրագրմամբ՝ սահմանելու  հակամենաշնորհային պահանջների պահպանման արտաքին կանոններ, որոնք տնտեսվարողի համար իբրև հիմք կծառայեն արդեն ներքին միջոցառումներ սահմանելու համար՝ ուղղված հակամենաշնորհային քաղաքականության պահանջների պահպանման ընթացիկ վերահսկողությանը:</w:t>
      </w:r>
    </w:p>
    <w:p w:rsidR="00C14936" w:rsidRPr="003046BB" w:rsidRDefault="00C14936" w:rsidP="00C14936">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Ստացվում է, որ կոմպլեանսը ծառայում է որպես պետություն-տնտեսվարող սուբյեկտ հարաբերություններում երկուստեք ընդունելի գործիք այն առումով, որ տնտեսվարողի գործունեությունն այդպիսով համապատասխանում է իրավասու մարմնի սահմանած չափանիշներին, մյուս կողմից՝ տնտեսվարողի համար առավել որոշակի և կանխատեսելի է դառնում պետության քաղաքականությունը տնտեսական մրցակցության ապահովման ոլորտում: Սա երաշխիքային նշանակություն կունենա նաև խախտումների հայտնաբերման դեպքում տնտեսվարող սուբյեկտի մեղքի հավաստման, իրավախախտման պատճառների վերհանման և արդյունքում պատասխանատվության համաչափության ապահովման տեսանկյունից:</w:t>
      </w:r>
    </w:p>
    <w:p w:rsidR="00CC03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Այդ առումով հակամենաշնորհային կոմպլեանսի ամրագրումը ՀՀ օրենսդրությամբ կհանգեցնի.</w:t>
      </w:r>
    </w:p>
    <w:p w:rsidR="00CC03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1.կազմակերպության կողմից հակամենաշնորհային իրավախախտումների և տուգանքների կիրառման նվազեցմանը,</w:t>
      </w:r>
    </w:p>
    <w:p w:rsidR="00CC03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lastRenderedPageBreak/>
        <w:t xml:space="preserve">2.հակամենաշնորհային ռիսկերի, կոռուպցիոն հանցագործությունների նվազեցման միջոցով ձեռնարկատերերի և կազմակերպությունների ղեկավարների անձնական անվտանգության բարձրացմանը, </w:t>
      </w:r>
    </w:p>
    <w:p w:rsidR="00CC03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3.իրավախախտումների ռիսկեր պարունակող աշխատակիցների կողմից իրականացվող գաղտնի գործողությունների բացահայտմանը, ինչն էլ կնվազեցնի կազմակերպության և ղեկավարության պատասխանատվության ենթարկվելու ռիսկերը,</w:t>
      </w:r>
    </w:p>
    <w:p w:rsidR="00CC03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4.անբարեխիղճ կոնտրագենտների և մրցակիցների բացահայտմանը, ինչը կազմակերպությանը հնարավորություն կտա գումար խնայելու,</w:t>
      </w:r>
    </w:p>
    <w:p w:rsidR="00C73D86" w:rsidRPr="003046BB" w:rsidRDefault="00CC038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5.կազմակերպության հեղինակության պահպանմանը և բարձրացմանը։</w:t>
      </w:r>
    </w:p>
    <w:p w:rsidR="00A27A29" w:rsidRPr="003046BB" w:rsidRDefault="00A27A29"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Հակամենաշնորհային քաղաքականությունը և ազատ տնտեսական մրցակցության պաշտպանությունը պետական կարգավորման կարևորագույն խնդիրներից է։</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Արդյունավետ հակամենաշնորհային քաղաքականության իրականացումը կարևորվում է երկրում գործարար միջավայրի բարելավման և զարգացման, ինչպես նաև տնտեսության մեջ բարձր մրցակցային ակտիվության պահպանման համար։</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Հակամենաշնորհային քաղաքականությունը նպատակ է հետապնդում պաշտպանել բարեխիղճ մրցակցությունը և ապահովել շուկայական հարաբերությունների արդյունավետությունը։</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Մենաշնորհների նկատմամբ</w:t>
      </w:r>
      <w:r w:rsidR="00A6528B" w:rsidRPr="003046BB">
        <w:rPr>
          <w:rFonts w:ascii="GHEA Grapalat" w:hAnsi="GHEA Grapalat" w:cs="Arial"/>
          <w:color w:val="000000"/>
          <w:sz w:val="24"/>
          <w:szCs w:val="24"/>
          <w:shd w:val="clear" w:color="auto" w:fill="FFFFFF"/>
          <w:lang w:val="hy-AM"/>
        </w:rPr>
        <w:t xml:space="preserve"> </w:t>
      </w:r>
      <w:r w:rsidRPr="003046BB">
        <w:rPr>
          <w:rFonts w:ascii="GHEA Grapalat" w:hAnsi="GHEA Grapalat" w:cs="Arial"/>
          <w:color w:val="000000"/>
          <w:sz w:val="24"/>
          <w:szCs w:val="24"/>
          <w:shd w:val="clear" w:color="auto" w:fill="FFFFFF"/>
          <w:lang w:val="hy-AM"/>
        </w:rPr>
        <w:t>պետության ազդեցությունը դրսևորվում է մրցակցության պետական կարգավորմամբ։ Իսկ վերջինիս հիմնական ուղղություններից մեկը տնտեսության հակամենաշնորհային կարգավորումն (կոմպլեանս) է։</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Պետության հակամենաշնորհային կարգավորումը տնտեսության պետական քաղաքականության ուղղություններից է և ներկայացնում է միջոցառումների համակարգ (օրենսդրություն, հարկային քաղաքականություն և այլն), որն ապահովում է արտադրության և շուկաների մենաշնորհացման սահմանափակումը՝ մրցակցության ակտիվացման նպատակով։</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lastRenderedPageBreak/>
        <w:t>Հակամենաշնորհային կոմպլեանսը հակամենաշնորհային օրենսդրության պահպանմանն ուղղված կորպորատիվ ծրագիր կամ քաղաքականություն է, որը բաղկացած է հետևյալ տարրերից.</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1.կազմակերպության հանրային կամ ոչ հանրային քաղաքականությունը հակամենաշնորհային օրենսդրության պահանջների պահպանման վերաբերյալ,</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2.կազմակերպության վաճառքի և բաշխման քաղաքականությունը, որը նախատեսում է պայմանագիր կնքելու համար կոնտրագենտների ընտրության նկատմամբ խտրականության բացառում,</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3.աշխատակիցների հետ հակամենաշնորհային դասընթացների անցկացում,</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 xml:space="preserve">4.կազմակերպություններում հակամենաշնորհային կոմպլեանսի չպահպանման նկատմամբ աշխատակիցներին </w:t>
      </w:r>
      <w:r w:rsidR="00B907D3" w:rsidRPr="003046BB">
        <w:rPr>
          <w:rFonts w:ascii="GHEA Grapalat" w:hAnsi="GHEA Grapalat" w:cs="Arial"/>
          <w:color w:val="000000"/>
          <w:sz w:val="24"/>
          <w:szCs w:val="24"/>
          <w:shd w:val="clear" w:color="auto" w:fill="FFFFFF"/>
          <w:lang w:val="hy-AM"/>
        </w:rPr>
        <w:t>պատասխանատվության</w:t>
      </w:r>
      <w:r w:rsidRPr="003046BB">
        <w:rPr>
          <w:rFonts w:ascii="GHEA Grapalat" w:hAnsi="GHEA Grapalat" w:cs="Arial"/>
          <w:color w:val="000000"/>
          <w:sz w:val="24"/>
          <w:szCs w:val="24"/>
          <w:shd w:val="clear" w:color="auto" w:fill="FFFFFF"/>
          <w:lang w:val="hy-AM"/>
        </w:rPr>
        <w:t xml:space="preserve"> ենթարկելու ծրագրերի ներդրում,</w:t>
      </w:r>
    </w:p>
    <w:p w:rsidR="00E44756" w:rsidRPr="003046BB" w:rsidRDefault="00E44756"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5.կազմակերպությունների ներսում մոնիթորինգի և աուդիտի իրականացում և այլն։</w:t>
      </w:r>
    </w:p>
    <w:p w:rsidR="006717A3" w:rsidRPr="003046BB" w:rsidRDefault="006717A3"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eastAsia="Times New Roman" w:hAnsi="GHEA Grapalat" w:cs="Times New Roman"/>
          <w:sz w:val="24"/>
          <w:szCs w:val="24"/>
          <w:lang w:val="hy-AM"/>
        </w:rPr>
        <w:t xml:space="preserve">Հարկ է նաև նկատել, որ Պաշտպանի աշխատակազմում ուսումնասիրվել է նաև հակամենաշնորհային կոմպլեանսի ներդրման </w:t>
      </w:r>
      <w:r w:rsidR="001573BF" w:rsidRPr="003046BB">
        <w:rPr>
          <w:rFonts w:ascii="GHEA Grapalat" w:eastAsia="Times New Roman" w:hAnsi="GHEA Grapalat" w:cs="Times New Roman"/>
          <w:sz w:val="24"/>
          <w:szCs w:val="24"/>
          <w:lang w:val="hy-AM"/>
        </w:rPr>
        <w:t>միջազգային փորձը։</w:t>
      </w:r>
      <w:r w:rsidRPr="003046BB">
        <w:rPr>
          <w:rFonts w:ascii="GHEA Grapalat" w:eastAsia="Times New Roman" w:hAnsi="GHEA Grapalat" w:cs="Times New Roman"/>
          <w:sz w:val="24"/>
          <w:szCs w:val="24"/>
          <w:lang w:val="hy-AM"/>
        </w:rPr>
        <w:t xml:space="preserve"> </w:t>
      </w:r>
      <w:r w:rsidRPr="003046BB">
        <w:rPr>
          <w:rFonts w:ascii="GHEA Grapalat" w:hAnsi="GHEA Grapalat" w:cs="Arial"/>
          <w:color w:val="000000"/>
          <w:sz w:val="24"/>
          <w:szCs w:val="24"/>
          <w:shd w:val="clear" w:color="auto" w:fill="FFFFFF"/>
          <w:lang w:val="hy-AM"/>
        </w:rPr>
        <w:t xml:space="preserve">2017 թվականի հունվարի 1-ին Ղազախստանի </w:t>
      </w:r>
      <w:r w:rsidRPr="003046BB">
        <w:rPr>
          <w:rFonts w:ascii="GHEA Grapalat" w:eastAsia="MS Mincho" w:hAnsi="GHEA Grapalat" w:cs="MS Mincho"/>
          <w:lang w:val="hy-AM"/>
        </w:rPr>
        <w:t>«</w:t>
      </w:r>
      <w:r w:rsidRPr="003046BB">
        <w:rPr>
          <w:rFonts w:ascii="GHEA Grapalat" w:hAnsi="GHEA Grapalat" w:cs="Arial"/>
          <w:color w:val="000000"/>
          <w:sz w:val="24"/>
          <w:szCs w:val="24"/>
          <w:shd w:val="clear" w:color="auto" w:fill="FFFFFF"/>
          <w:lang w:val="hy-AM"/>
        </w:rPr>
        <w:t>Մրցակցության և բնակարանաշինության պետական աջակցության օրենսդրական ակտերում փոփոխություններ մտցնելու մասին</w:t>
      </w:r>
      <w:r w:rsidRPr="003046BB">
        <w:rPr>
          <w:rFonts w:ascii="GHEA Grapalat" w:eastAsia="MS Mincho" w:hAnsi="GHEA Grapalat" w:cs="MS Mincho"/>
          <w:lang w:val="hy-AM"/>
        </w:rPr>
        <w:t>»</w:t>
      </w:r>
      <w:r w:rsidRPr="003046BB">
        <w:rPr>
          <w:rFonts w:ascii="GHEA Grapalat" w:hAnsi="GHEA Grapalat" w:cs="Arial"/>
          <w:color w:val="000000"/>
          <w:sz w:val="24"/>
          <w:szCs w:val="24"/>
          <w:shd w:val="clear" w:color="auto" w:fill="FFFFFF"/>
          <w:lang w:val="hy-AM"/>
        </w:rPr>
        <w:t xml:space="preserve"> օրենքով սահմանվեց հակամենաշնորհային կոմպլեանսի հասկացությունը։ </w:t>
      </w:r>
      <w:r w:rsidR="00987995" w:rsidRPr="003046BB">
        <w:rPr>
          <w:rFonts w:ascii="GHEA Grapalat" w:hAnsi="GHEA Grapalat" w:cs="Arial"/>
          <w:color w:val="000000"/>
          <w:sz w:val="24"/>
          <w:szCs w:val="24"/>
          <w:shd w:val="clear" w:color="auto" w:fill="FFFFFF"/>
          <w:lang w:val="hy-AM"/>
        </w:rPr>
        <w:t xml:space="preserve">Նշյալ օրենքով փոփոխություններ իրականացվեցին Ղազախստանի </w:t>
      </w:r>
      <w:r w:rsidR="00987995" w:rsidRPr="003046BB">
        <w:rPr>
          <w:rFonts w:ascii="GHEA Grapalat" w:eastAsia="MS Mincho" w:hAnsi="GHEA Grapalat" w:cs="MS Mincho"/>
          <w:lang w:val="hy-AM"/>
        </w:rPr>
        <w:t>«</w:t>
      </w:r>
      <w:r w:rsidR="00987995" w:rsidRPr="003046BB">
        <w:rPr>
          <w:rFonts w:ascii="GHEA Grapalat" w:hAnsi="GHEA Grapalat" w:cs="Arial"/>
          <w:color w:val="000000"/>
          <w:sz w:val="24"/>
          <w:szCs w:val="24"/>
          <w:shd w:val="clear" w:color="auto" w:fill="FFFFFF"/>
          <w:lang w:val="hy-AM"/>
        </w:rPr>
        <w:t>Ձեռնարկատիրական օրենսգրքում</w:t>
      </w:r>
      <w:r w:rsidR="00987995" w:rsidRPr="003046BB">
        <w:rPr>
          <w:rFonts w:ascii="GHEA Grapalat" w:eastAsia="MS Mincho" w:hAnsi="GHEA Grapalat" w:cs="MS Mincho"/>
          <w:lang w:val="hy-AM"/>
        </w:rPr>
        <w:t>»</w:t>
      </w:r>
      <w:r w:rsidR="00987995" w:rsidRPr="003046BB">
        <w:rPr>
          <w:rFonts w:ascii="GHEA Grapalat" w:hAnsi="GHEA Grapalat" w:cs="Arial"/>
          <w:color w:val="000000"/>
          <w:sz w:val="24"/>
          <w:szCs w:val="24"/>
          <w:shd w:val="clear" w:color="auto" w:fill="FFFFFF"/>
          <w:lang w:val="hy-AM"/>
        </w:rPr>
        <w:t>, մասնավորապես նշյալ օրենսգրքի 195-1 հոդվածով տրվեց հակամենաշնորհային կոմպլեանսի հասկացությունը, որով այն սահմանվեց որպես Ղազախստանի Հանրապետության մրցակցության պաշտպանության ոլորտում օրենսդրության խախտումների կանխարգելման միջոցառումների համակարգ</w:t>
      </w:r>
      <w:r w:rsidR="00987995" w:rsidRPr="003046BB">
        <w:rPr>
          <w:rFonts w:ascii="GHEA Grapalat" w:hAnsi="GHEA Grapalat"/>
          <w:color w:val="000000"/>
          <w:shd w:val="clear" w:color="auto" w:fill="FFFFFF"/>
          <w:vertAlign w:val="superscript"/>
        </w:rPr>
        <w:footnoteReference w:id="1"/>
      </w:r>
      <w:r w:rsidR="00987995" w:rsidRPr="003046BB">
        <w:rPr>
          <w:rFonts w:ascii="GHEA Grapalat" w:hAnsi="GHEA Grapalat" w:cs="Arial"/>
          <w:color w:val="000000"/>
          <w:sz w:val="24"/>
          <w:szCs w:val="24"/>
          <w:shd w:val="clear" w:color="auto" w:fill="FFFFFF"/>
          <w:lang w:val="hy-AM"/>
        </w:rPr>
        <w:t>։</w:t>
      </w:r>
    </w:p>
    <w:p w:rsidR="006717A3" w:rsidRPr="003046BB" w:rsidRDefault="00987995"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Նշյալ հոդվածով սահմանվեց նաև,</w:t>
      </w:r>
      <w:r w:rsidR="006717A3" w:rsidRPr="003046BB">
        <w:rPr>
          <w:rFonts w:ascii="GHEA Grapalat" w:hAnsi="GHEA Grapalat" w:cs="Arial"/>
          <w:color w:val="000000"/>
          <w:sz w:val="24"/>
          <w:szCs w:val="24"/>
          <w:shd w:val="clear" w:color="auto" w:fill="FFFFFF"/>
          <w:lang w:val="hy-AM"/>
        </w:rPr>
        <w:t xml:space="preserve"> որ հակամենաշնորհային կոմպլեանսի ներդրման համար շուկայի սուբյեկտներն իրավասու են ընդունել </w:t>
      </w:r>
      <w:r w:rsidR="00B907D3" w:rsidRPr="003046BB">
        <w:rPr>
          <w:rFonts w:ascii="GHEA Grapalat" w:hAnsi="GHEA Grapalat" w:cs="Arial"/>
          <w:color w:val="000000"/>
          <w:sz w:val="24"/>
          <w:szCs w:val="24"/>
          <w:shd w:val="clear" w:color="auto" w:fill="FFFFFF"/>
          <w:lang w:val="hy-AM"/>
        </w:rPr>
        <w:t>հակամենաշնորհային</w:t>
      </w:r>
      <w:r w:rsidR="006717A3" w:rsidRPr="003046BB">
        <w:rPr>
          <w:rFonts w:ascii="GHEA Grapalat" w:hAnsi="GHEA Grapalat" w:cs="Arial"/>
          <w:color w:val="000000"/>
          <w:sz w:val="24"/>
          <w:szCs w:val="24"/>
          <w:shd w:val="clear" w:color="auto" w:fill="FFFFFF"/>
          <w:lang w:val="hy-AM"/>
        </w:rPr>
        <w:t xml:space="preserve"> կոմպլեանսի ակտեր.</w:t>
      </w:r>
    </w:p>
    <w:p w:rsidR="006717A3" w:rsidRPr="003046BB" w:rsidRDefault="006717A3" w:rsidP="006F7A7E">
      <w:pPr>
        <w:pStyle w:val="ListParagraph"/>
        <w:numPr>
          <w:ilvl w:val="0"/>
          <w:numId w:val="10"/>
        </w:numPr>
        <w:spacing w:after="160"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lastRenderedPageBreak/>
        <w:t>համապատասխան ապրանքների շուկայում սուբյեկտների բարեխիղճ մրցակցության քաղաքականությունն ու կանոնները նախատեսող արտաքին ակտ</w:t>
      </w:r>
    </w:p>
    <w:p w:rsidR="006717A3" w:rsidRPr="003046BB" w:rsidRDefault="006717A3" w:rsidP="006F7A7E">
      <w:pPr>
        <w:pStyle w:val="ListParagraph"/>
        <w:numPr>
          <w:ilvl w:val="0"/>
          <w:numId w:val="10"/>
        </w:numPr>
        <w:spacing w:after="160"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Ղազախստանի Հանրապետությունում մրցակցության պաշտպանության ոլորտում իրավախախտումների ռիսկերի կառավարմանն ուղղված մեթոդները, ռիսկերի գնահատման միջոցները, շուկայի սուբյեկտների աշխատանքների կազմակերպման կարգը նախատեսող ներքին ակտ</w:t>
      </w:r>
    </w:p>
    <w:p w:rsidR="006717A3" w:rsidRPr="003046BB" w:rsidRDefault="006717A3" w:rsidP="006F7A7E">
      <w:pPr>
        <w:pStyle w:val="ListParagraph"/>
        <w:numPr>
          <w:ilvl w:val="0"/>
          <w:numId w:val="10"/>
        </w:numPr>
        <w:spacing w:after="160"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շուկայի սուբյեկտներն իրավունք ունեն հակամենաշնորհային մարմին ուղարկել հակամենաշնորհային կոմպլեանսի արտաքին ակտը հակամենաշնորհային կոմպլեանսի տիպային ձևին համապատասխանեցնելու համար, որը  պետք է ուսումնասիրվի այն ներկայացնելու օրվանից մեկամսյա ժամկետում</w:t>
      </w:r>
    </w:p>
    <w:p w:rsidR="006717A3" w:rsidRPr="003046BB" w:rsidRDefault="006717A3" w:rsidP="006F7A7E">
      <w:pPr>
        <w:pStyle w:val="ListParagraph"/>
        <w:numPr>
          <w:ilvl w:val="0"/>
          <w:numId w:val="10"/>
        </w:numPr>
        <w:spacing w:after="160"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 xml:space="preserve">հակամենաշնորհային մարմնի կողմից ուսումնասիրված հակամենաշնորհային կոմպլեանսի արտաքին ակտի նախագիծը հակամենաշնորհային կոմպլեանսի ներքին ակտին համապատասխանելու պարագայում հանդիսանում է կոնկրետ շուկայի սուբյեկտի կամ կոնկրետ իրավիճակի նկատմամբ մրցակցության պաշտպանության Ղազախստանի Հանրապետության օրենսդրության պարզաբանման ակտ։ </w:t>
      </w:r>
    </w:p>
    <w:p w:rsidR="006717A3" w:rsidRPr="003046BB" w:rsidRDefault="006717A3"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Ղազախստանում հակամենաշնորհային կոմպլեանսի տիպային ակտերը հաստատվեցին ազգային տնտեսության նախարարի հրամանով ։</w:t>
      </w:r>
    </w:p>
    <w:p w:rsidR="006717A3" w:rsidRPr="003046BB" w:rsidRDefault="006717A3"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Ռուսաստանում հակամենաշնորհային օրենսդրության զարգացումը և դրա կիրառման պրակտիկան վերջին տարիներին նշանավորվել է հակամրցակցային վարքի համար տուգանքների և քրեական պատասխանատվության ներդրմամբ, ինչպես նաև հակամենաշնորհային վեճերի ավելացմամբ։</w:t>
      </w:r>
    </w:p>
    <w:p w:rsidR="006717A3" w:rsidRPr="003046BB" w:rsidRDefault="006717A3"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 xml:space="preserve">Ռուսաստանի Դաշնության նախագահի 2019 թվականի մարտի 1-ի մրցակցության զարգացման պետական քաղաքականության մասին հրամանագրով սահմանվեց իշխանության ֆեդերալ և տարածաշրջանային մարմինների գործունեության մեջ հակամենաշնորհային կոմպլեանսի ներդրման պահանջ։ </w:t>
      </w:r>
    </w:p>
    <w:p w:rsidR="006717A3" w:rsidRPr="003046BB" w:rsidRDefault="006717A3" w:rsidP="006F7A7E">
      <w:pPr>
        <w:pStyle w:val="ListParagraph"/>
        <w:spacing w:after="0"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 xml:space="preserve">Ներկայումս Ռուսաստանի Դաշնությունում հակամրցակցային կարգավորման բնագավառը հասել է այն մակարդակին, որ կազմակերպություններն իրենք են </w:t>
      </w:r>
      <w:r w:rsidRPr="003046BB">
        <w:rPr>
          <w:rFonts w:ascii="GHEA Grapalat" w:hAnsi="GHEA Grapalat" w:cs="Arial"/>
          <w:color w:val="000000"/>
          <w:sz w:val="24"/>
          <w:szCs w:val="24"/>
          <w:shd w:val="clear" w:color="auto" w:fill="FFFFFF"/>
          <w:lang w:val="hy-AM"/>
        </w:rPr>
        <w:lastRenderedPageBreak/>
        <w:t>մասնակցում մրցակցության զարգացման և իրավախախտումների կանխարգելման գործընթացին։</w:t>
      </w:r>
    </w:p>
    <w:p w:rsidR="007520D1" w:rsidRPr="003046BB" w:rsidRDefault="007520D1" w:rsidP="006F7A7E">
      <w:p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ԱՄՆ-ի հակամենաշնորհային հիմնական օրենքը՝ Շերմանի ակտը, հակամենաշնորհային կոմպլեանսի մասին նորմեր չի պարունակում։ Սակայն դատարանները քրեական պատասխանատվություն նշանակելիս, այդ թվում մրցակցության պաշտպանության մասին օրենսդրության խախտման համար, օգտվում են ԱՄՆ-ի՝ վճիռների կայացման ձեռնարկից</w:t>
      </w:r>
      <w:r w:rsidRPr="003046BB">
        <w:rPr>
          <w:rStyle w:val="FootnoteReference"/>
          <w:rFonts w:ascii="GHEA Grapalat" w:hAnsi="GHEA Grapalat"/>
          <w:sz w:val="24"/>
          <w:szCs w:val="24"/>
          <w:lang w:val="hy-AM"/>
        </w:rPr>
        <w:footnoteReference w:id="2"/>
      </w:r>
      <w:r w:rsidRPr="003046BB">
        <w:rPr>
          <w:rFonts w:ascii="GHEA Grapalat" w:hAnsi="GHEA Grapalat"/>
          <w:sz w:val="24"/>
          <w:szCs w:val="24"/>
          <w:lang w:val="hy-AM"/>
        </w:rPr>
        <w:t>։ Այն իրենից ներկայացնում է խորհրդատվական բնույթի փաստաթուղթ, որով սահմանված է, որ հակամենաշնորհային գործերը քննելիս դատարանները պետք է հաշվի առնեն կա</w:t>
      </w:r>
      <w:r w:rsidR="00B907D3" w:rsidRPr="003046BB">
        <w:rPr>
          <w:rFonts w:ascii="GHEA Grapalat" w:hAnsi="GHEA Grapalat"/>
          <w:sz w:val="24"/>
          <w:szCs w:val="24"/>
          <w:lang w:val="hy-AM"/>
        </w:rPr>
        <w:t>զ</w:t>
      </w:r>
      <w:r w:rsidRPr="003046BB">
        <w:rPr>
          <w:rFonts w:ascii="GHEA Grapalat" w:hAnsi="GHEA Grapalat"/>
          <w:sz w:val="24"/>
          <w:szCs w:val="24"/>
          <w:lang w:val="hy-AM"/>
        </w:rPr>
        <w:t>մակերպության կողմից արդյունավետ և հաջողակ ձևով ներդրված հակամենաշնորհային կոմպլեանսի առկայության հանգամանքը։ Այսպես, կազմակերպության կողմից հակամենաշնորհային կոմպլեանսի ներդրումը համարվում է հաջողված, եթե այն.</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ցուցաբերում է բավարար հետևողականություն հանցավոր գործողությունների կանխման և բացահայտման համար</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միջոցներ է ձեռնարկում օրենսդրության պահպանման և պատշաճ գործելակերպի համար, այդ թվում.</w:t>
      </w:r>
    </w:p>
    <w:p w:rsidR="007520D1" w:rsidRPr="003046BB" w:rsidRDefault="007520D1" w:rsidP="006F7A7E">
      <w:pPr>
        <w:pStyle w:val="ListParagraph"/>
        <w:numPr>
          <w:ilvl w:val="0"/>
          <w:numId w:val="12"/>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ներմուծում է հանցավոր գործելակերպի կանխարգելման և բացահայտման ստանդարտներ և միջոցառումներ</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2"/>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ապահովում է միջին օղակի ղեկավարության տեղեկացվածությունը էթիկայի ծրագրի և կոմպլեանսի բովանդակությանը և դրա արդյունավետ իրականացման նկատմամբ վերահսկողությունը</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2"/>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ունի ղեկավարության վերևի օղակի աջակցությանը և նրա կազմից նշանակում է նշված ծրագրի պատասխանատուին</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2"/>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նշանակում է ծրագրի ամենօրյա իրականացման պատասխանատուներին, որոնք ենթակա են բարձրագույն ղեկավարությանը և ունեն համապատասխան լիազորություններ և ռեսուրսներ</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lastRenderedPageBreak/>
        <w:t>ձեռնարկում է բոլոր անհրաժեշտ միջոցները և դրսևորում է պատշաճ հետևողականություն իրավախախտումների հետ առնչություն ունեցող անձանց մասնակցությունը կազմակերպության կառավարման մարմիններին կանխելու համար</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խելամիտ ջանքեր է գործադրում ծրագրի վերաբերյալ դասընթացների միջոցով կազմակերպության անձնակազմին ծանոթացնելու ուղղությամբ</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ներդնում է ծրագրի իրականացման մոնիթորինգի ընթացակարգը, այդ թվում աուդիտի, ծրագրի արդյունավետության պարբերաբար գնահատման, գաղտնիության սկզբունքի պահպանմամբ ներքին տեղեկատվություն ստանալու համակարգի ներդրումը</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16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հետևողականորեն ամրապնդում է էթիկայի և կոմպլեանսի ծրագիրը՝ երաշխավորելով դրանց պահանջների իրականացումը և պատասխանատվության միջոցներ է կիրառում այն անձանց նկատմամբ, ովքեր անհրաժեշտ միջոցներ չեն ձեռնարկել հանցավոր վարքագիծը կանխելու և հայտ</w:t>
      </w:r>
      <w:r w:rsidR="00B907D3" w:rsidRPr="003046BB">
        <w:rPr>
          <w:rFonts w:ascii="GHEA Grapalat" w:hAnsi="GHEA Grapalat"/>
          <w:sz w:val="24"/>
          <w:szCs w:val="24"/>
          <w:lang w:val="hy-AM"/>
        </w:rPr>
        <w:t>ն</w:t>
      </w:r>
      <w:r w:rsidRPr="003046BB">
        <w:rPr>
          <w:rFonts w:ascii="GHEA Grapalat" w:hAnsi="GHEA Grapalat"/>
          <w:sz w:val="24"/>
          <w:szCs w:val="24"/>
          <w:lang w:val="hy-AM"/>
        </w:rPr>
        <w:t>աբերելու ուղղությամբ</w:t>
      </w:r>
      <w:r w:rsidR="00B907D3" w:rsidRPr="003046BB">
        <w:rPr>
          <w:rFonts w:ascii="GHEA Grapalat" w:hAnsi="GHEA Grapalat"/>
          <w:sz w:val="24"/>
          <w:szCs w:val="24"/>
          <w:lang w:val="hy-AM"/>
        </w:rPr>
        <w:t>,</w:t>
      </w:r>
    </w:p>
    <w:p w:rsidR="007520D1" w:rsidRPr="003046BB" w:rsidRDefault="007520D1" w:rsidP="006F7A7E">
      <w:pPr>
        <w:pStyle w:val="ListParagraph"/>
        <w:numPr>
          <w:ilvl w:val="0"/>
          <w:numId w:val="11"/>
        </w:num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իրավախախտման առկայության դեպքում ձեռնարկում է անհրաժեշտ միջոցներ պատշաճ արձագանքման և նմանատիպ դեպքերը կանխելու ուղղությամբ։</w:t>
      </w:r>
    </w:p>
    <w:p w:rsidR="007520D1" w:rsidRPr="003046BB" w:rsidRDefault="007520D1" w:rsidP="006F7A7E">
      <w:p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Եվրոպական միությունում մրցակցային հարաբերությունները կարգավորվում են Եվրոպական միության պայմանագրով, որը կոմպլեանսի մասին նորմեր չի պարունակում։ Սակայն անդամ պետությունների հակամրցակցային մարմիններն ընդունել են խորհրդատվական բնույթի փաստաթղթեր, որտեղ սահմանվում են կոմպլեանսի ծրագրի հիմնական հատկանիշները։</w:t>
      </w:r>
    </w:p>
    <w:p w:rsidR="007520D1" w:rsidRPr="003046BB" w:rsidRDefault="007520D1" w:rsidP="006F7A7E">
      <w:pPr>
        <w:spacing w:after="0" w:line="360" w:lineRule="auto"/>
        <w:ind w:left="-180" w:right="-334" w:firstLine="360"/>
        <w:jc w:val="both"/>
        <w:rPr>
          <w:rFonts w:ascii="GHEA Grapalat" w:hAnsi="GHEA Grapalat"/>
          <w:color w:val="000000"/>
          <w:sz w:val="24"/>
          <w:szCs w:val="24"/>
          <w:shd w:val="clear" w:color="auto" w:fill="FFFFFF"/>
          <w:lang w:val="hy-AM"/>
        </w:rPr>
      </w:pPr>
      <w:r w:rsidRPr="003046BB">
        <w:rPr>
          <w:rFonts w:ascii="GHEA Grapalat" w:hAnsi="GHEA Grapalat"/>
          <w:sz w:val="24"/>
          <w:szCs w:val="24"/>
          <w:lang w:val="hy-AM"/>
        </w:rPr>
        <w:t xml:space="preserve">Եվրոպական հանձնաժողովը 2011 թվականին հրապարակեց տեղեկատվական թերթիկ </w:t>
      </w:r>
      <w:r w:rsidRPr="003046BB">
        <w:rPr>
          <w:rFonts w:ascii="GHEA Grapalat" w:hAnsi="GHEA Grapalat"/>
          <w:color w:val="000000"/>
          <w:sz w:val="24"/>
          <w:szCs w:val="24"/>
          <w:shd w:val="clear" w:color="auto" w:fill="FFFFFF"/>
          <w:lang w:val="hy-AM"/>
        </w:rPr>
        <w:t>«Կոմպլեանսի հարցեր» վերնագրով</w:t>
      </w:r>
      <w:r w:rsidRPr="003046BB">
        <w:rPr>
          <w:rStyle w:val="FootnoteReference"/>
          <w:rFonts w:ascii="GHEA Grapalat" w:hAnsi="GHEA Grapalat"/>
          <w:color w:val="000000"/>
          <w:sz w:val="24"/>
          <w:szCs w:val="24"/>
          <w:shd w:val="clear" w:color="auto" w:fill="FFFFFF"/>
          <w:lang w:val="hy-AM"/>
        </w:rPr>
        <w:footnoteReference w:id="3"/>
      </w:r>
      <w:r w:rsidRPr="003046BB">
        <w:rPr>
          <w:rFonts w:ascii="GHEA Grapalat" w:hAnsi="GHEA Grapalat"/>
          <w:color w:val="000000"/>
          <w:sz w:val="24"/>
          <w:szCs w:val="24"/>
          <w:shd w:val="clear" w:color="auto" w:fill="FFFFFF"/>
          <w:lang w:val="hy-AM"/>
        </w:rPr>
        <w:t>, որտեղ մանրամասն բացատրվում է, թե որն է հանդիսանում հակամրցակցային օրենսդրության պահպանման կազմակերպության պարտավորությունը, որոնք են մրցակցային շուկայի հիմնական կանոնները, ինչ ռիսկեր է կրում իրավախախտ կազմակերպությունը և ինչպես կառուցել կոմպլեանս-վերահսկողության արդյունավետ ռազմավարություն։</w:t>
      </w:r>
    </w:p>
    <w:p w:rsidR="007520D1" w:rsidRPr="003046BB" w:rsidRDefault="007520D1" w:rsidP="006F7A7E">
      <w:pPr>
        <w:spacing w:after="0" w:line="360" w:lineRule="auto"/>
        <w:ind w:left="-180" w:right="-334" w:firstLine="360"/>
        <w:jc w:val="both"/>
        <w:rPr>
          <w:rFonts w:ascii="GHEA Grapalat" w:hAnsi="GHEA Grapalat"/>
          <w:color w:val="000000"/>
          <w:sz w:val="24"/>
          <w:szCs w:val="24"/>
          <w:shd w:val="clear" w:color="auto" w:fill="FFFFFF"/>
          <w:lang w:val="hy-AM"/>
        </w:rPr>
      </w:pPr>
      <w:r w:rsidRPr="003046BB">
        <w:rPr>
          <w:rFonts w:ascii="GHEA Grapalat" w:hAnsi="GHEA Grapalat"/>
          <w:color w:val="000000"/>
          <w:sz w:val="24"/>
          <w:szCs w:val="24"/>
          <w:shd w:val="clear" w:color="auto" w:fill="FFFFFF"/>
          <w:lang w:val="hy-AM"/>
        </w:rPr>
        <w:lastRenderedPageBreak/>
        <w:t>Մեծ Բրիտանիայում 2011 թվականին հրապարակվեց «Ինչպես ձեր բիզնեսին համապատասխանել հակամրցակցային իրավունքի նորմերին» ձեռնարկը</w:t>
      </w:r>
      <w:r w:rsidRPr="003046BB">
        <w:rPr>
          <w:rStyle w:val="FootnoteReference"/>
          <w:rFonts w:ascii="GHEA Grapalat" w:hAnsi="GHEA Grapalat"/>
          <w:color w:val="000000"/>
          <w:sz w:val="24"/>
          <w:szCs w:val="24"/>
          <w:shd w:val="clear" w:color="auto" w:fill="FFFFFF"/>
          <w:lang w:val="hy-AM"/>
        </w:rPr>
        <w:footnoteReference w:id="4"/>
      </w:r>
      <w:r w:rsidRPr="003046BB">
        <w:rPr>
          <w:rFonts w:ascii="GHEA Grapalat" w:hAnsi="GHEA Grapalat"/>
          <w:color w:val="000000"/>
          <w:sz w:val="24"/>
          <w:szCs w:val="24"/>
          <w:shd w:val="clear" w:color="auto" w:fill="FFFFFF"/>
          <w:lang w:val="hy-AM"/>
        </w:rPr>
        <w:t xml:space="preserve">, որով կազմակերպություններին առաջարկվեց կիրառել ռիսկերի գնահատման հետ կապված արդյունավետ կոմպլեանսի ծրագիր։ </w:t>
      </w:r>
    </w:p>
    <w:p w:rsidR="007520D1" w:rsidRPr="003046BB" w:rsidRDefault="007520D1" w:rsidP="006F7A7E">
      <w:p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Միջազգային փորձը ցույց է տալիս, որ շատ երկրներում կոմպլեանսի մեխանիզմի ներդրումը նախնական փուլում կրում է կամավոր բնույթ։</w:t>
      </w:r>
    </w:p>
    <w:p w:rsidR="007520D1" w:rsidRPr="003046BB" w:rsidRDefault="007520D1" w:rsidP="006F7A7E">
      <w:p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ԱՄՆ-ում դատարանները վճիռ կայացնելիս որպես մեղմացուցիչ հանգամանք տուգանքի չափը նվազեցնում են՝ հաշվի առնելով կազմակերպությունում կոմպլեանսի ծրագրի ներդրումը։ Սակայն այն չի վերաբերում խոշոր հակամենաշնորհային խախտումներին, օրինակ, կարտելային փոխհամաձայնություններին</w:t>
      </w:r>
      <w:r w:rsidRPr="003046BB">
        <w:rPr>
          <w:rStyle w:val="FootnoteReference"/>
          <w:rFonts w:ascii="GHEA Grapalat" w:hAnsi="GHEA Grapalat"/>
          <w:sz w:val="24"/>
          <w:szCs w:val="24"/>
          <w:lang w:val="hy-AM"/>
        </w:rPr>
        <w:footnoteReference w:id="5"/>
      </w:r>
      <w:r w:rsidRPr="003046BB">
        <w:rPr>
          <w:rFonts w:ascii="GHEA Grapalat" w:hAnsi="GHEA Grapalat"/>
          <w:sz w:val="24"/>
          <w:szCs w:val="24"/>
          <w:lang w:val="hy-AM"/>
        </w:rPr>
        <w:t>։</w:t>
      </w:r>
    </w:p>
    <w:p w:rsidR="007520D1" w:rsidRPr="003046BB" w:rsidRDefault="007520D1" w:rsidP="006F7A7E">
      <w:pPr>
        <w:spacing w:after="0" w:line="360" w:lineRule="auto"/>
        <w:ind w:left="-180" w:right="-334" w:firstLine="360"/>
        <w:jc w:val="both"/>
        <w:rPr>
          <w:rFonts w:ascii="GHEA Grapalat" w:hAnsi="GHEA Grapalat"/>
          <w:sz w:val="24"/>
          <w:szCs w:val="24"/>
          <w:lang w:val="hy-AM"/>
        </w:rPr>
      </w:pPr>
      <w:r w:rsidRPr="003046BB">
        <w:rPr>
          <w:rFonts w:ascii="GHEA Grapalat" w:hAnsi="GHEA Grapalat"/>
          <w:sz w:val="24"/>
          <w:szCs w:val="24"/>
          <w:lang w:val="hy-AM"/>
        </w:rPr>
        <w:t>Նույն դիրքորոշումն առկա է Եվրոպական միությունում։</w:t>
      </w:r>
    </w:p>
    <w:p w:rsidR="006717A3" w:rsidRPr="003046BB" w:rsidRDefault="006717A3" w:rsidP="006F7A7E">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r w:rsidRPr="003046BB">
        <w:rPr>
          <w:rFonts w:ascii="GHEA Grapalat" w:hAnsi="GHEA Grapalat" w:cs="Arial"/>
          <w:color w:val="000000"/>
          <w:sz w:val="24"/>
          <w:szCs w:val="24"/>
          <w:shd w:val="clear" w:color="auto" w:fill="FFFFFF"/>
          <w:lang w:val="hy-AM"/>
        </w:rPr>
        <w:t>Եվրոպական Միության անդամ մի շարք երկրներում ազգային մակարդակով ուսումնասիրվում են պատժաչափերի իջեցման հնարավորությունը կազմակերպությունների կողմից հակամենաշնորհային կոմպլեանսի առկայության և նրա պահանջների պահպանման դեպքում։ Այսպես, Մեծ Բրիտանիայում և Ֆրանսիայում նմանատիպ դեպքերում նախատեսվում է տուգանքի իջեցում 10%, իսկ Իտալիայում 15%-ով։</w:t>
      </w:r>
    </w:p>
    <w:p w:rsidR="00E63543" w:rsidRDefault="00E63543" w:rsidP="003074E2">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p>
    <w:p w:rsidR="00E63543" w:rsidRPr="00E63543" w:rsidRDefault="00E63543" w:rsidP="006E0B9D">
      <w:pPr>
        <w:pStyle w:val="ListParagraph"/>
        <w:numPr>
          <w:ilvl w:val="0"/>
          <w:numId w:val="13"/>
        </w:numPr>
        <w:shd w:val="clear" w:color="auto" w:fill="FFFFFF"/>
        <w:spacing w:line="360" w:lineRule="auto"/>
        <w:ind w:left="0" w:firstLine="180"/>
        <w:jc w:val="both"/>
        <w:rPr>
          <w:rFonts w:ascii="GHEA Grapalat" w:eastAsia="Times New Roman" w:hAnsi="GHEA Grapalat" w:cs="Times New Roman"/>
          <w:b/>
          <w:sz w:val="24"/>
          <w:szCs w:val="24"/>
          <w:lang w:val="hy-AM" w:eastAsia="ru-RU"/>
        </w:rPr>
      </w:pPr>
      <w:r w:rsidRPr="00E63543">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E63543" w:rsidRPr="00E63543" w:rsidRDefault="00E63543" w:rsidP="006E0B9D">
      <w:pPr>
        <w:shd w:val="clear" w:color="auto" w:fill="FFFFFF"/>
        <w:spacing w:line="360" w:lineRule="auto"/>
        <w:ind w:firstLine="180"/>
        <w:jc w:val="both"/>
        <w:rPr>
          <w:rFonts w:ascii="GHEA Grapalat" w:eastAsia="Times New Roman" w:hAnsi="GHEA Grapalat" w:cs="Times New Roman"/>
          <w:sz w:val="24"/>
          <w:szCs w:val="24"/>
          <w:lang w:val="hy-AM" w:eastAsia="ru-RU"/>
        </w:rPr>
      </w:pPr>
      <w:r w:rsidRPr="00E63543">
        <w:rPr>
          <w:rFonts w:ascii="GHEA Grapalat" w:eastAsia="Times New Roman" w:hAnsi="GHEA Grapalat" w:cs="Times New Roman"/>
          <w:sz w:val="24"/>
          <w:szCs w:val="24"/>
          <w:lang w:val="hy-AM" w:eastAsia="ru-RU"/>
        </w:rPr>
        <w:t xml:space="preserve">Նախագիծը մշակվել է ՀՀ </w:t>
      </w:r>
      <w:r>
        <w:rPr>
          <w:rFonts w:ascii="GHEA Grapalat" w:eastAsia="Times New Roman" w:hAnsi="GHEA Grapalat" w:cs="Times New Roman"/>
          <w:sz w:val="24"/>
          <w:szCs w:val="24"/>
          <w:lang w:val="hy-AM" w:eastAsia="ru-RU"/>
        </w:rPr>
        <w:t>մարդու իրավունքների պաշտպանի աշխատակազմի</w:t>
      </w:r>
      <w:r w:rsidRPr="00E63543">
        <w:rPr>
          <w:rFonts w:ascii="GHEA Grapalat" w:eastAsia="Times New Roman" w:hAnsi="GHEA Grapalat" w:cs="Times New Roman"/>
          <w:sz w:val="24"/>
          <w:szCs w:val="24"/>
          <w:lang w:val="hy-AM" w:eastAsia="ru-RU"/>
        </w:rPr>
        <w:t xml:space="preserve"> կողմից:</w:t>
      </w:r>
    </w:p>
    <w:p w:rsidR="00E63543" w:rsidRDefault="00E63543" w:rsidP="00E63543">
      <w:pPr>
        <w:spacing w:line="360" w:lineRule="auto"/>
        <w:ind w:left="540" w:right="-334"/>
        <w:jc w:val="both"/>
        <w:rPr>
          <w:rFonts w:ascii="GHEA Grapalat" w:hAnsi="GHEA Grapalat" w:cs="Arial"/>
          <w:color w:val="000000"/>
          <w:sz w:val="24"/>
          <w:szCs w:val="24"/>
          <w:shd w:val="clear" w:color="auto" w:fill="FFFFFF"/>
          <w:lang w:val="hy-AM"/>
        </w:rPr>
      </w:pPr>
    </w:p>
    <w:p w:rsidR="00E63543" w:rsidRPr="00E63543" w:rsidRDefault="00E63543" w:rsidP="006E0B9D">
      <w:pPr>
        <w:pStyle w:val="ListParagraph"/>
        <w:numPr>
          <w:ilvl w:val="0"/>
          <w:numId w:val="13"/>
        </w:numPr>
        <w:spacing w:line="360" w:lineRule="auto"/>
        <w:ind w:left="0" w:right="-334" w:firstLine="270"/>
        <w:jc w:val="both"/>
        <w:rPr>
          <w:rFonts w:ascii="GHEA Grapalat" w:hAnsi="GHEA Grapalat" w:cs="Arial"/>
          <w:color w:val="000000"/>
          <w:sz w:val="24"/>
          <w:szCs w:val="24"/>
          <w:shd w:val="clear" w:color="auto" w:fill="FFFFFF"/>
          <w:lang w:val="hy-AM"/>
        </w:rPr>
      </w:pPr>
      <w:r w:rsidRPr="009704BB">
        <w:rPr>
          <w:rFonts w:ascii="GHEA Grapalat" w:eastAsia="Times New Roman" w:hAnsi="GHEA Grapalat" w:cs="Times New Roman"/>
          <w:b/>
          <w:sz w:val="24"/>
          <w:szCs w:val="24"/>
          <w:lang w:val="hy-AM" w:eastAsia="ru-RU"/>
        </w:rPr>
        <w:t>Ակնկալվող արդյունքը</w:t>
      </w:r>
    </w:p>
    <w:p w:rsidR="00E63543" w:rsidRPr="00E63543" w:rsidRDefault="00E63543" w:rsidP="006E0B9D">
      <w:pPr>
        <w:spacing w:line="360" w:lineRule="auto"/>
        <w:ind w:right="-334" w:firstLine="180"/>
        <w:jc w:val="both"/>
        <w:rPr>
          <w:rFonts w:ascii="GHEA Grapalat" w:hAnsi="GHEA Grapalat" w:cs="Arial"/>
          <w:color w:val="000000"/>
          <w:sz w:val="24"/>
          <w:szCs w:val="24"/>
          <w:shd w:val="clear" w:color="auto" w:fill="FFFFFF"/>
          <w:lang w:val="hy-AM"/>
        </w:rPr>
      </w:pPr>
      <w:r w:rsidRPr="00E63543">
        <w:rPr>
          <w:rFonts w:ascii="GHEA Grapalat" w:hAnsi="GHEA Grapalat" w:cs="Arial"/>
          <w:color w:val="000000"/>
          <w:sz w:val="24"/>
          <w:szCs w:val="24"/>
          <w:shd w:val="clear" w:color="auto" w:fill="FFFFFF"/>
          <w:lang w:val="hy-AM"/>
        </w:rPr>
        <w:lastRenderedPageBreak/>
        <w:t>Հակամենաշնորհային կոմպլեանսի օրենսդրորեն ամրագրումը կապահովագրի բիզնեսին հակամենաշնորհային օրենսդրության խախտումներից և հնարավորություն կտա խուսափել տուգանքներից, մյուս կողմից՝ պետության կողմից կապահովվի երկրում գործարար միջավայրի բարելավման և զարգացմանն ուղղված հակամենաշնորհային քաղաքականության իրականացումը։</w:t>
      </w:r>
    </w:p>
    <w:p w:rsidR="00913AF2" w:rsidRDefault="00913AF2" w:rsidP="003074E2">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p>
    <w:p w:rsidR="00913AF2" w:rsidRDefault="00913AF2" w:rsidP="003074E2">
      <w:pPr>
        <w:pStyle w:val="ListParagraph"/>
        <w:spacing w:line="360" w:lineRule="auto"/>
        <w:ind w:left="-180" w:right="-334" w:firstLine="360"/>
        <w:jc w:val="both"/>
        <w:rPr>
          <w:rFonts w:ascii="GHEA Grapalat" w:hAnsi="GHEA Grapalat" w:cs="Arial"/>
          <w:color w:val="000000"/>
          <w:sz w:val="24"/>
          <w:szCs w:val="24"/>
          <w:shd w:val="clear" w:color="auto" w:fill="FFFFFF"/>
          <w:lang w:val="hy-AM"/>
        </w:rPr>
      </w:pPr>
    </w:p>
    <w:p w:rsidR="00913AF2" w:rsidRPr="00913AF2" w:rsidRDefault="00913AF2" w:rsidP="003074E2">
      <w:pPr>
        <w:pStyle w:val="ListParagraph"/>
        <w:spacing w:line="360" w:lineRule="auto"/>
        <w:ind w:left="-180" w:right="-334" w:firstLine="360"/>
        <w:jc w:val="both"/>
        <w:rPr>
          <w:rFonts w:ascii="GHEA Grapalat" w:hAnsi="GHEA Grapalat" w:cs="Arial"/>
          <w:b/>
          <w:color w:val="000000"/>
          <w:sz w:val="24"/>
          <w:szCs w:val="24"/>
          <w:shd w:val="clear" w:color="auto" w:fill="FFFFFF"/>
          <w:lang w:val="hy-AM"/>
        </w:rPr>
      </w:pPr>
    </w:p>
    <w:p w:rsidR="00913AF2" w:rsidRDefault="00913AF2" w:rsidP="003074E2">
      <w:pPr>
        <w:pStyle w:val="ListParagraph"/>
        <w:spacing w:line="360" w:lineRule="auto"/>
        <w:ind w:left="-180" w:right="-334" w:firstLine="360"/>
        <w:jc w:val="both"/>
        <w:rPr>
          <w:rFonts w:ascii="GHEA Grapalat" w:hAnsi="GHEA Grapalat"/>
          <w:sz w:val="24"/>
          <w:szCs w:val="24"/>
          <w:lang w:val="hy-AM"/>
        </w:rPr>
      </w:pPr>
    </w:p>
    <w:sectPr w:rsidR="00913AF2" w:rsidSect="001D02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BA" w:rsidRDefault="00D561BA" w:rsidP="0016245B">
      <w:pPr>
        <w:spacing w:after="0" w:line="240" w:lineRule="auto"/>
      </w:pPr>
      <w:r>
        <w:separator/>
      </w:r>
    </w:p>
  </w:endnote>
  <w:endnote w:type="continuationSeparator" w:id="0">
    <w:p w:rsidR="00D561BA" w:rsidRDefault="00D561BA" w:rsidP="0016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erriweather">
    <w:charset w:val="0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25886"/>
      <w:docPartObj>
        <w:docPartGallery w:val="Page Numbers (Bottom of Page)"/>
        <w:docPartUnique/>
      </w:docPartObj>
    </w:sdtPr>
    <w:sdtEndPr>
      <w:rPr>
        <w:noProof/>
      </w:rPr>
    </w:sdtEndPr>
    <w:sdtContent>
      <w:p w:rsidR="00C82421" w:rsidRDefault="00C82421">
        <w:pPr>
          <w:pStyle w:val="Footer"/>
          <w:jc w:val="center"/>
        </w:pPr>
        <w:r>
          <w:fldChar w:fldCharType="begin"/>
        </w:r>
        <w:r>
          <w:instrText xml:space="preserve"> PAGE   \* MERGEFORMAT </w:instrText>
        </w:r>
        <w:r>
          <w:fldChar w:fldCharType="separate"/>
        </w:r>
        <w:r w:rsidR="00F85FF6">
          <w:rPr>
            <w:noProof/>
          </w:rPr>
          <w:t>1</w:t>
        </w:r>
        <w:r>
          <w:rPr>
            <w:noProof/>
          </w:rPr>
          <w:fldChar w:fldCharType="end"/>
        </w:r>
      </w:p>
    </w:sdtContent>
  </w:sdt>
  <w:p w:rsidR="00C82421" w:rsidRDefault="00C8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BA" w:rsidRDefault="00D561BA" w:rsidP="0016245B">
      <w:pPr>
        <w:spacing w:after="0" w:line="240" w:lineRule="auto"/>
      </w:pPr>
      <w:r>
        <w:separator/>
      </w:r>
    </w:p>
  </w:footnote>
  <w:footnote w:type="continuationSeparator" w:id="0">
    <w:p w:rsidR="00D561BA" w:rsidRDefault="00D561BA" w:rsidP="0016245B">
      <w:pPr>
        <w:spacing w:after="0" w:line="240" w:lineRule="auto"/>
      </w:pPr>
      <w:r>
        <w:continuationSeparator/>
      </w:r>
    </w:p>
  </w:footnote>
  <w:footnote w:id="1">
    <w:p w:rsidR="00987995" w:rsidRPr="006F7A7E" w:rsidRDefault="00987995" w:rsidP="00987995">
      <w:pPr>
        <w:pStyle w:val="FootnoteText"/>
        <w:jc w:val="both"/>
        <w:rPr>
          <w:rFonts w:ascii="GHEA Grapalat" w:hAnsi="GHEA Grapalat"/>
          <w:lang w:val="hy-AM"/>
        </w:rPr>
      </w:pPr>
      <w:r w:rsidRPr="006F7A7E">
        <w:rPr>
          <w:rStyle w:val="FootnoteReference"/>
          <w:rFonts w:ascii="GHEA Grapalat" w:hAnsi="GHEA Grapalat"/>
        </w:rPr>
        <w:footnoteRef/>
      </w:r>
      <w:r w:rsidRPr="006F7A7E">
        <w:rPr>
          <w:rFonts w:ascii="GHEA Grapalat" w:hAnsi="GHEA Grapalat"/>
        </w:rPr>
        <w:t xml:space="preserve"> </w:t>
      </w:r>
      <w:hyperlink r:id="rId1" w:anchor="pos=2;-256" w:history="1">
        <w:r w:rsidRPr="006F7A7E">
          <w:rPr>
            <w:rStyle w:val="Hyperlink"/>
            <w:rFonts w:ascii="GHEA Grapalat" w:hAnsi="GHEA Grapalat"/>
            <w:color w:val="auto"/>
            <w:u w:val="none"/>
          </w:rPr>
          <w:t>https://online.zakon.kz/Document/?doc_id=38924913#pos=2;-256</w:t>
        </w:r>
      </w:hyperlink>
    </w:p>
  </w:footnote>
  <w:footnote w:id="2">
    <w:p w:rsidR="007520D1" w:rsidRPr="003074E2" w:rsidRDefault="007520D1" w:rsidP="006F7A7E">
      <w:pPr>
        <w:pStyle w:val="FootnoteText"/>
        <w:jc w:val="both"/>
        <w:rPr>
          <w:rFonts w:ascii="GHEA Grapalat" w:hAnsi="GHEA Grapalat"/>
          <w:lang w:val="hy-AM"/>
        </w:rPr>
      </w:pPr>
      <w:r w:rsidRPr="003074E2">
        <w:rPr>
          <w:rStyle w:val="FootnoteReference"/>
          <w:rFonts w:ascii="GHEA Grapalat" w:hAnsi="GHEA Grapalat"/>
        </w:rPr>
        <w:footnoteRef/>
      </w:r>
      <w:r w:rsidRPr="003074E2">
        <w:rPr>
          <w:rFonts w:ascii="GHEA Grapalat" w:hAnsi="GHEA Grapalat"/>
          <w:lang w:val="hy-AM"/>
        </w:rPr>
        <w:t xml:space="preserve"> </w:t>
      </w:r>
      <w:r w:rsidRPr="003074E2">
        <w:rPr>
          <w:rFonts w:ascii="GHEA Grapalat" w:hAnsi="GHEA Grapalat" w:cs="Arial"/>
          <w:shd w:val="clear" w:color="auto" w:fill="FFFFFF"/>
          <w:lang w:val="hy-AM"/>
        </w:rPr>
        <w:t>http://www.ussc.gov/guidelines-manual/2011/2011-8b21</w:t>
      </w:r>
    </w:p>
  </w:footnote>
  <w:footnote w:id="3">
    <w:p w:rsidR="007520D1" w:rsidRPr="003074E2" w:rsidRDefault="007520D1" w:rsidP="006F7A7E">
      <w:pPr>
        <w:pStyle w:val="FootnoteText"/>
        <w:jc w:val="both"/>
        <w:rPr>
          <w:rFonts w:ascii="GHEA Grapalat" w:hAnsi="GHEA Grapalat"/>
          <w:lang w:val="hy-AM"/>
        </w:rPr>
      </w:pPr>
      <w:r w:rsidRPr="003074E2">
        <w:rPr>
          <w:rStyle w:val="FootnoteReference"/>
          <w:rFonts w:ascii="GHEA Grapalat" w:hAnsi="GHEA Grapalat"/>
        </w:rPr>
        <w:footnoteRef/>
      </w:r>
      <w:r w:rsidRPr="003074E2">
        <w:rPr>
          <w:rFonts w:ascii="GHEA Grapalat" w:hAnsi="GHEA Grapalat"/>
          <w:lang w:val="hy-AM"/>
        </w:rPr>
        <w:t xml:space="preserve"> </w:t>
      </w:r>
      <w:r w:rsidRPr="003074E2">
        <w:rPr>
          <w:rFonts w:ascii="GHEA Grapalat" w:hAnsi="GHEA Grapalat" w:cs="Arial"/>
          <w:shd w:val="clear" w:color="auto" w:fill="FFFFFF"/>
          <w:lang w:val="hy-AM"/>
        </w:rPr>
        <w:t>http://ec.europa.eu/competition/antitrust/compliance/index_en.html</w:t>
      </w:r>
    </w:p>
  </w:footnote>
  <w:footnote w:id="4">
    <w:p w:rsidR="007520D1" w:rsidRPr="003074E2" w:rsidRDefault="007520D1" w:rsidP="006F7A7E">
      <w:pPr>
        <w:pStyle w:val="FootnoteText"/>
        <w:jc w:val="both"/>
        <w:rPr>
          <w:lang w:val="hy-AM"/>
        </w:rPr>
      </w:pPr>
      <w:r w:rsidRPr="003074E2">
        <w:rPr>
          <w:rStyle w:val="FootnoteReference"/>
          <w:rFonts w:ascii="GHEA Grapalat" w:hAnsi="GHEA Grapalat"/>
        </w:rPr>
        <w:footnoteRef/>
      </w:r>
      <w:r w:rsidRPr="003074E2">
        <w:rPr>
          <w:rFonts w:ascii="GHEA Grapalat" w:hAnsi="GHEA Grapalat"/>
          <w:lang w:val="hy-AM"/>
        </w:rPr>
        <w:t xml:space="preserve"> </w:t>
      </w:r>
      <w:r w:rsidRPr="003074E2">
        <w:rPr>
          <w:rFonts w:ascii="GHEA Grapalat" w:hAnsi="GHEA Grapalat" w:cs="Arial"/>
          <w:shd w:val="clear" w:color="auto" w:fill="FFFFFF"/>
          <w:lang w:val="hy-AM"/>
        </w:rPr>
        <w:t>https://www.gov.uk/government/uploads/system/uploads/attachment_data/file/284402/oft1341.pdf</w:t>
      </w:r>
    </w:p>
  </w:footnote>
  <w:footnote w:id="5">
    <w:p w:rsidR="007520D1" w:rsidRPr="006F7A7E" w:rsidRDefault="007520D1" w:rsidP="006F7A7E">
      <w:pPr>
        <w:pStyle w:val="FootnoteText"/>
        <w:jc w:val="both"/>
        <w:rPr>
          <w:rFonts w:ascii="GHEA Grapalat" w:hAnsi="GHEA Grapalat"/>
          <w:lang w:val="hy-AM"/>
        </w:rPr>
      </w:pPr>
      <w:r w:rsidRPr="003074E2">
        <w:rPr>
          <w:rStyle w:val="FootnoteReference"/>
          <w:rFonts w:ascii="GHEA Grapalat" w:hAnsi="GHEA Grapalat"/>
        </w:rPr>
        <w:footnoteRef/>
      </w:r>
      <w:r w:rsidRPr="003074E2">
        <w:rPr>
          <w:rFonts w:ascii="GHEA Grapalat" w:hAnsi="GHEA Grapalat"/>
          <w:lang w:val="hy-AM"/>
        </w:rPr>
        <w:t xml:space="preserve"> </w:t>
      </w:r>
      <w:r w:rsidRPr="003074E2">
        <w:rPr>
          <w:rFonts w:ascii="Calibri" w:hAnsi="Calibri" w:cs="Calibri"/>
          <w:shd w:val="clear" w:color="auto" w:fill="FFFFFF"/>
          <w:lang w:val="hy-AM"/>
        </w:rPr>
        <w:t> </w:t>
      </w:r>
      <w:r w:rsidRPr="003074E2">
        <w:rPr>
          <w:rFonts w:ascii="GHEA Grapalat" w:hAnsi="GHEA Grapalat" w:cs="Arial"/>
          <w:shd w:val="clear" w:color="auto" w:fill="FFFFFF"/>
          <w:lang w:val="hy-AM"/>
        </w:rPr>
        <w:t>http://www.justice.gov/atr/public/speeches/308499.pdf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CD6"/>
    <w:multiLevelType w:val="hybridMultilevel"/>
    <w:tmpl w:val="AEB62410"/>
    <w:lvl w:ilvl="0" w:tplc="D12E6B30">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A1A409E"/>
    <w:multiLevelType w:val="hybridMultilevel"/>
    <w:tmpl w:val="B32072AA"/>
    <w:lvl w:ilvl="0" w:tplc="F29A8842">
      <w:start w:val="1"/>
      <w:numFmt w:val="decimal"/>
      <w:lvlText w:val="%1."/>
      <w:lvlJc w:val="left"/>
      <w:pPr>
        <w:ind w:left="928" w:hanging="360"/>
      </w:pPr>
      <w:rPr>
        <w:rFonts w:cs="TT18At00" w:hint="default"/>
        <w:sz w:val="23"/>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0ABF786B"/>
    <w:multiLevelType w:val="hybridMultilevel"/>
    <w:tmpl w:val="83806B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675E2"/>
    <w:multiLevelType w:val="hybridMultilevel"/>
    <w:tmpl w:val="A2647686"/>
    <w:lvl w:ilvl="0" w:tplc="EFA2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2D6F61"/>
    <w:multiLevelType w:val="hybridMultilevel"/>
    <w:tmpl w:val="41DCED3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F563862"/>
    <w:multiLevelType w:val="hybridMultilevel"/>
    <w:tmpl w:val="5FB2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2761B"/>
    <w:multiLevelType w:val="hybridMultilevel"/>
    <w:tmpl w:val="ACF6EAE0"/>
    <w:lvl w:ilvl="0" w:tplc="1F2C3EC6">
      <w:start w:val="1"/>
      <w:numFmt w:val="decimal"/>
      <w:lvlText w:val="%1)"/>
      <w:lvlJc w:val="left"/>
      <w:pPr>
        <w:ind w:left="1080" w:hanging="360"/>
      </w:pPr>
      <w:rPr>
        <w:rFonts w:ascii="GHEA Grapalat" w:hAnsi="GHEA Grapalat"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116B7"/>
    <w:multiLevelType w:val="hybridMultilevel"/>
    <w:tmpl w:val="0D908B14"/>
    <w:lvl w:ilvl="0" w:tplc="18B8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9E4FFA"/>
    <w:multiLevelType w:val="hybridMultilevel"/>
    <w:tmpl w:val="ECCCE054"/>
    <w:lvl w:ilvl="0" w:tplc="6CD0E6C0">
      <w:start w:val="1"/>
      <w:numFmt w:val="bullet"/>
      <w:lvlText w:val="-"/>
      <w:lvlJc w:val="left"/>
      <w:pPr>
        <w:ind w:left="1080" w:hanging="360"/>
      </w:pPr>
      <w:rPr>
        <w:rFonts w:ascii="GHEA Grapalat" w:eastAsiaTheme="minorHAnsi"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BB1972"/>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9AF19CB"/>
    <w:multiLevelType w:val="hybridMultilevel"/>
    <w:tmpl w:val="8830FA9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nsid w:val="6BB42ACE"/>
    <w:multiLevelType w:val="hybridMultilevel"/>
    <w:tmpl w:val="1502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1"/>
  </w:num>
  <w:num w:numId="6">
    <w:abstractNumId w:val="4"/>
  </w:num>
  <w:num w:numId="7">
    <w:abstractNumId w:val="7"/>
  </w:num>
  <w:num w:numId="8">
    <w:abstractNumId w:val="8"/>
  </w:num>
  <w:num w:numId="9">
    <w:abstractNumId w:val="3"/>
  </w:num>
  <w:num w:numId="10">
    <w:abstractNumId w:val="6"/>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02"/>
    <w:rsid w:val="00002465"/>
    <w:rsid w:val="0001256E"/>
    <w:rsid w:val="000140AB"/>
    <w:rsid w:val="00020139"/>
    <w:rsid w:val="00022CF6"/>
    <w:rsid w:val="00024CAC"/>
    <w:rsid w:val="000251A7"/>
    <w:rsid w:val="00025C3A"/>
    <w:rsid w:val="000450A5"/>
    <w:rsid w:val="00045455"/>
    <w:rsid w:val="0004798E"/>
    <w:rsid w:val="00052F08"/>
    <w:rsid w:val="00054C60"/>
    <w:rsid w:val="00055F79"/>
    <w:rsid w:val="00057767"/>
    <w:rsid w:val="00057F92"/>
    <w:rsid w:val="00061272"/>
    <w:rsid w:val="000615C8"/>
    <w:rsid w:val="00065D94"/>
    <w:rsid w:val="00081DA2"/>
    <w:rsid w:val="000828E3"/>
    <w:rsid w:val="00083987"/>
    <w:rsid w:val="0009147B"/>
    <w:rsid w:val="00093402"/>
    <w:rsid w:val="00093D5D"/>
    <w:rsid w:val="00097BB9"/>
    <w:rsid w:val="000A029B"/>
    <w:rsid w:val="000A2544"/>
    <w:rsid w:val="000A4481"/>
    <w:rsid w:val="000B0504"/>
    <w:rsid w:val="000B34C6"/>
    <w:rsid w:val="000D2F2E"/>
    <w:rsid w:val="000D3EF0"/>
    <w:rsid w:val="000D54CC"/>
    <w:rsid w:val="000E0CC2"/>
    <w:rsid w:val="000E6FDE"/>
    <w:rsid w:val="000F25B7"/>
    <w:rsid w:val="000F3BEB"/>
    <w:rsid w:val="000F5A83"/>
    <w:rsid w:val="001003FD"/>
    <w:rsid w:val="001008EE"/>
    <w:rsid w:val="00101232"/>
    <w:rsid w:val="00101A3D"/>
    <w:rsid w:val="0010658B"/>
    <w:rsid w:val="00107383"/>
    <w:rsid w:val="00110008"/>
    <w:rsid w:val="001422C6"/>
    <w:rsid w:val="001432D3"/>
    <w:rsid w:val="00144E24"/>
    <w:rsid w:val="00150A9C"/>
    <w:rsid w:val="00154DF4"/>
    <w:rsid w:val="001573BF"/>
    <w:rsid w:val="00160AE3"/>
    <w:rsid w:val="0016213F"/>
    <w:rsid w:val="0016245B"/>
    <w:rsid w:val="0016473A"/>
    <w:rsid w:val="0016755D"/>
    <w:rsid w:val="001724C6"/>
    <w:rsid w:val="00185E64"/>
    <w:rsid w:val="0019487A"/>
    <w:rsid w:val="001A0A81"/>
    <w:rsid w:val="001A1BD0"/>
    <w:rsid w:val="001A247E"/>
    <w:rsid w:val="001B3DAF"/>
    <w:rsid w:val="001B58A4"/>
    <w:rsid w:val="001C3387"/>
    <w:rsid w:val="001C7D91"/>
    <w:rsid w:val="001D0265"/>
    <w:rsid w:val="001D1CFB"/>
    <w:rsid w:val="001D49A7"/>
    <w:rsid w:val="001D66DC"/>
    <w:rsid w:val="001E5509"/>
    <w:rsid w:val="001E5603"/>
    <w:rsid w:val="001F16E5"/>
    <w:rsid w:val="001F38A6"/>
    <w:rsid w:val="0020029B"/>
    <w:rsid w:val="00200BDB"/>
    <w:rsid w:val="0020467C"/>
    <w:rsid w:val="00210994"/>
    <w:rsid w:val="00213B7B"/>
    <w:rsid w:val="002235F3"/>
    <w:rsid w:val="002260FD"/>
    <w:rsid w:val="00231AF7"/>
    <w:rsid w:val="00232A63"/>
    <w:rsid w:val="00236255"/>
    <w:rsid w:val="00242D48"/>
    <w:rsid w:val="00244214"/>
    <w:rsid w:val="0025005E"/>
    <w:rsid w:val="002500FD"/>
    <w:rsid w:val="00250288"/>
    <w:rsid w:val="00256BD6"/>
    <w:rsid w:val="00260DCB"/>
    <w:rsid w:val="00271334"/>
    <w:rsid w:val="00271EFB"/>
    <w:rsid w:val="0027742E"/>
    <w:rsid w:val="00285545"/>
    <w:rsid w:val="00290216"/>
    <w:rsid w:val="00291CDF"/>
    <w:rsid w:val="002A1353"/>
    <w:rsid w:val="002A3637"/>
    <w:rsid w:val="002A7D85"/>
    <w:rsid w:val="002B039B"/>
    <w:rsid w:val="002B0F09"/>
    <w:rsid w:val="002B176A"/>
    <w:rsid w:val="002B39D1"/>
    <w:rsid w:val="002B58CC"/>
    <w:rsid w:val="002C313B"/>
    <w:rsid w:val="002C5ED8"/>
    <w:rsid w:val="002C68E0"/>
    <w:rsid w:val="002D0F0B"/>
    <w:rsid w:val="002D2DBC"/>
    <w:rsid w:val="002D3BC5"/>
    <w:rsid w:val="002E2421"/>
    <w:rsid w:val="002F6EE8"/>
    <w:rsid w:val="0030129F"/>
    <w:rsid w:val="003046BB"/>
    <w:rsid w:val="003074E2"/>
    <w:rsid w:val="00316015"/>
    <w:rsid w:val="00321385"/>
    <w:rsid w:val="0032229E"/>
    <w:rsid w:val="00322DF4"/>
    <w:rsid w:val="00324D0C"/>
    <w:rsid w:val="00326958"/>
    <w:rsid w:val="00330A64"/>
    <w:rsid w:val="003365F8"/>
    <w:rsid w:val="0033668C"/>
    <w:rsid w:val="003379A8"/>
    <w:rsid w:val="00340224"/>
    <w:rsid w:val="00342795"/>
    <w:rsid w:val="00344B44"/>
    <w:rsid w:val="00345D63"/>
    <w:rsid w:val="003505FE"/>
    <w:rsid w:val="0035141D"/>
    <w:rsid w:val="0035186E"/>
    <w:rsid w:val="00352896"/>
    <w:rsid w:val="00356528"/>
    <w:rsid w:val="00360C1B"/>
    <w:rsid w:val="003664FC"/>
    <w:rsid w:val="0037077D"/>
    <w:rsid w:val="0037325A"/>
    <w:rsid w:val="00374368"/>
    <w:rsid w:val="00376465"/>
    <w:rsid w:val="003841F5"/>
    <w:rsid w:val="00390ECD"/>
    <w:rsid w:val="003915FE"/>
    <w:rsid w:val="00394405"/>
    <w:rsid w:val="003A2697"/>
    <w:rsid w:val="003A5528"/>
    <w:rsid w:val="003A6947"/>
    <w:rsid w:val="003A7A99"/>
    <w:rsid w:val="003B303F"/>
    <w:rsid w:val="003D61BE"/>
    <w:rsid w:val="003E176B"/>
    <w:rsid w:val="003E70FA"/>
    <w:rsid w:val="003E7EFA"/>
    <w:rsid w:val="003F269F"/>
    <w:rsid w:val="003F6441"/>
    <w:rsid w:val="003F6618"/>
    <w:rsid w:val="003F6809"/>
    <w:rsid w:val="003F7A19"/>
    <w:rsid w:val="004003D4"/>
    <w:rsid w:val="00400982"/>
    <w:rsid w:val="004043A8"/>
    <w:rsid w:val="00407E68"/>
    <w:rsid w:val="00413F10"/>
    <w:rsid w:val="00417E20"/>
    <w:rsid w:val="00425A09"/>
    <w:rsid w:val="0042706D"/>
    <w:rsid w:val="00431F40"/>
    <w:rsid w:val="00440E02"/>
    <w:rsid w:val="004457FE"/>
    <w:rsid w:val="00452023"/>
    <w:rsid w:val="00457ACF"/>
    <w:rsid w:val="00462662"/>
    <w:rsid w:val="00471D6B"/>
    <w:rsid w:val="004763CB"/>
    <w:rsid w:val="0048530C"/>
    <w:rsid w:val="00493602"/>
    <w:rsid w:val="004A4655"/>
    <w:rsid w:val="004B3F29"/>
    <w:rsid w:val="004B3FEA"/>
    <w:rsid w:val="004B52F5"/>
    <w:rsid w:val="004C0AF8"/>
    <w:rsid w:val="004C0B19"/>
    <w:rsid w:val="004C1A8C"/>
    <w:rsid w:val="004C4E25"/>
    <w:rsid w:val="004D1E24"/>
    <w:rsid w:val="004D4711"/>
    <w:rsid w:val="004D63EE"/>
    <w:rsid w:val="004D7ED0"/>
    <w:rsid w:val="004E2885"/>
    <w:rsid w:val="0050213B"/>
    <w:rsid w:val="005035FF"/>
    <w:rsid w:val="00534300"/>
    <w:rsid w:val="00535359"/>
    <w:rsid w:val="0054626F"/>
    <w:rsid w:val="005467EE"/>
    <w:rsid w:val="00546B8F"/>
    <w:rsid w:val="005510DD"/>
    <w:rsid w:val="00552521"/>
    <w:rsid w:val="0055333F"/>
    <w:rsid w:val="00563054"/>
    <w:rsid w:val="005712FD"/>
    <w:rsid w:val="005768D1"/>
    <w:rsid w:val="00576AF3"/>
    <w:rsid w:val="00592304"/>
    <w:rsid w:val="005A18BB"/>
    <w:rsid w:val="005A6B86"/>
    <w:rsid w:val="005B51F5"/>
    <w:rsid w:val="005B5588"/>
    <w:rsid w:val="005B7607"/>
    <w:rsid w:val="005C35C5"/>
    <w:rsid w:val="005C37F6"/>
    <w:rsid w:val="005D0EE8"/>
    <w:rsid w:val="005D5DF4"/>
    <w:rsid w:val="005F038F"/>
    <w:rsid w:val="005F0DCE"/>
    <w:rsid w:val="00610B51"/>
    <w:rsid w:val="00611FF8"/>
    <w:rsid w:val="00613E66"/>
    <w:rsid w:val="00613E97"/>
    <w:rsid w:val="00614BE4"/>
    <w:rsid w:val="006203D4"/>
    <w:rsid w:val="0062293E"/>
    <w:rsid w:val="00623BE4"/>
    <w:rsid w:val="00634FAF"/>
    <w:rsid w:val="00640395"/>
    <w:rsid w:val="006424BF"/>
    <w:rsid w:val="0064500C"/>
    <w:rsid w:val="0066114E"/>
    <w:rsid w:val="00661805"/>
    <w:rsid w:val="00664237"/>
    <w:rsid w:val="006717A3"/>
    <w:rsid w:val="00673043"/>
    <w:rsid w:val="00677AE3"/>
    <w:rsid w:val="00680199"/>
    <w:rsid w:val="00681A72"/>
    <w:rsid w:val="00682909"/>
    <w:rsid w:val="006847B4"/>
    <w:rsid w:val="00685257"/>
    <w:rsid w:val="006A013F"/>
    <w:rsid w:val="006A14A6"/>
    <w:rsid w:val="006A6918"/>
    <w:rsid w:val="006B78A0"/>
    <w:rsid w:val="006C6E45"/>
    <w:rsid w:val="006D1416"/>
    <w:rsid w:val="006D73B2"/>
    <w:rsid w:val="006E07D2"/>
    <w:rsid w:val="006E0B9D"/>
    <w:rsid w:val="006F079B"/>
    <w:rsid w:val="006F1542"/>
    <w:rsid w:val="006F7A7E"/>
    <w:rsid w:val="00702CBA"/>
    <w:rsid w:val="007034DD"/>
    <w:rsid w:val="0070433F"/>
    <w:rsid w:val="00713D14"/>
    <w:rsid w:val="0072175B"/>
    <w:rsid w:val="0072477B"/>
    <w:rsid w:val="00725D62"/>
    <w:rsid w:val="007328BB"/>
    <w:rsid w:val="00733082"/>
    <w:rsid w:val="00733F5D"/>
    <w:rsid w:val="00734591"/>
    <w:rsid w:val="00746633"/>
    <w:rsid w:val="0075181A"/>
    <w:rsid w:val="00752002"/>
    <w:rsid w:val="007520D1"/>
    <w:rsid w:val="007529E7"/>
    <w:rsid w:val="00760300"/>
    <w:rsid w:val="00763BC0"/>
    <w:rsid w:val="007649D8"/>
    <w:rsid w:val="0076697C"/>
    <w:rsid w:val="00766F1B"/>
    <w:rsid w:val="007747F1"/>
    <w:rsid w:val="00774CA7"/>
    <w:rsid w:val="00790AF0"/>
    <w:rsid w:val="00790BC4"/>
    <w:rsid w:val="00792E62"/>
    <w:rsid w:val="00793E86"/>
    <w:rsid w:val="007A152C"/>
    <w:rsid w:val="007A1B5E"/>
    <w:rsid w:val="007A1F28"/>
    <w:rsid w:val="007B0FD4"/>
    <w:rsid w:val="007B205E"/>
    <w:rsid w:val="007B2E53"/>
    <w:rsid w:val="007B7B96"/>
    <w:rsid w:val="007C4C76"/>
    <w:rsid w:val="007C79F3"/>
    <w:rsid w:val="007D7156"/>
    <w:rsid w:val="007E4EFE"/>
    <w:rsid w:val="00801857"/>
    <w:rsid w:val="00802A31"/>
    <w:rsid w:val="00804A37"/>
    <w:rsid w:val="008050C2"/>
    <w:rsid w:val="0081062C"/>
    <w:rsid w:val="00813B2A"/>
    <w:rsid w:val="0081580C"/>
    <w:rsid w:val="00815FC4"/>
    <w:rsid w:val="008177DB"/>
    <w:rsid w:val="008206AD"/>
    <w:rsid w:val="008262A7"/>
    <w:rsid w:val="00835E47"/>
    <w:rsid w:val="00847ECC"/>
    <w:rsid w:val="00851E00"/>
    <w:rsid w:val="00854088"/>
    <w:rsid w:val="00856EE1"/>
    <w:rsid w:val="00860674"/>
    <w:rsid w:val="00862A17"/>
    <w:rsid w:val="008641F0"/>
    <w:rsid w:val="00866AFF"/>
    <w:rsid w:val="00867C47"/>
    <w:rsid w:val="008706B1"/>
    <w:rsid w:val="008818BE"/>
    <w:rsid w:val="00885A65"/>
    <w:rsid w:val="00885AE5"/>
    <w:rsid w:val="008945CE"/>
    <w:rsid w:val="008A46AA"/>
    <w:rsid w:val="008B2265"/>
    <w:rsid w:val="008B28C0"/>
    <w:rsid w:val="008B2ED6"/>
    <w:rsid w:val="008B7E0C"/>
    <w:rsid w:val="008C02E7"/>
    <w:rsid w:val="008C5680"/>
    <w:rsid w:val="008D231D"/>
    <w:rsid w:val="008D2819"/>
    <w:rsid w:val="008D55DF"/>
    <w:rsid w:val="008D750E"/>
    <w:rsid w:val="008D76D3"/>
    <w:rsid w:val="008D795D"/>
    <w:rsid w:val="008E28A8"/>
    <w:rsid w:val="008F4B97"/>
    <w:rsid w:val="008F7816"/>
    <w:rsid w:val="008F7C96"/>
    <w:rsid w:val="009020A9"/>
    <w:rsid w:val="00904DCD"/>
    <w:rsid w:val="0090743F"/>
    <w:rsid w:val="0091078D"/>
    <w:rsid w:val="0091215E"/>
    <w:rsid w:val="00913AF2"/>
    <w:rsid w:val="00922F19"/>
    <w:rsid w:val="009230AE"/>
    <w:rsid w:val="00924411"/>
    <w:rsid w:val="00927707"/>
    <w:rsid w:val="00940582"/>
    <w:rsid w:val="0094238C"/>
    <w:rsid w:val="00951D50"/>
    <w:rsid w:val="00951DE9"/>
    <w:rsid w:val="00951F86"/>
    <w:rsid w:val="009522D8"/>
    <w:rsid w:val="00953345"/>
    <w:rsid w:val="00963D68"/>
    <w:rsid w:val="0097100C"/>
    <w:rsid w:val="00983115"/>
    <w:rsid w:val="00987203"/>
    <w:rsid w:val="00987995"/>
    <w:rsid w:val="0099575B"/>
    <w:rsid w:val="009A67C3"/>
    <w:rsid w:val="009B417F"/>
    <w:rsid w:val="009E2AA7"/>
    <w:rsid w:val="009E32DB"/>
    <w:rsid w:val="009F4707"/>
    <w:rsid w:val="009F6B87"/>
    <w:rsid w:val="00A013CC"/>
    <w:rsid w:val="00A05675"/>
    <w:rsid w:val="00A123AA"/>
    <w:rsid w:val="00A14112"/>
    <w:rsid w:val="00A22223"/>
    <w:rsid w:val="00A22F0C"/>
    <w:rsid w:val="00A24CFF"/>
    <w:rsid w:val="00A2598E"/>
    <w:rsid w:val="00A27A29"/>
    <w:rsid w:val="00A30193"/>
    <w:rsid w:val="00A37CED"/>
    <w:rsid w:val="00A51498"/>
    <w:rsid w:val="00A51D53"/>
    <w:rsid w:val="00A5308F"/>
    <w:rsid w:val="00A64211"/>
    <w:rsid w:val="00A6528B"/>
    <w:rsid w:val="00A66A70"/>
    <w:rsid w:val="00A707BA"/>
    <w:rsid w:val="00A82283"/>
    <w:rsid w:val="00A8317C"/>
    <w:rsid w:val="00A8427C"/>
    <w:rsid w:val="00A8583E"/>
    <w:rsid w:val="00A8685C"/>
    <w:rsid w:val="00AA1900"/>
    <w:rsid w:val="00AA25F5"/>
    <w:rsid w:val="00AA3121"/>
    <w:rsid w:val="00AB2BB0"/>
    <w:rsid w:val="00AC2334"/>
    <w:rsid w:val="00AC398B"/>
    <w:rsid w:val="00AC4617"/>
    <w:rsid w:val="00AC505F"/>
    <w:rsid w:val="00AC5784"/>
    <w:rsid w:val="00AD33EB"/>
    <w:rsid w:val="00AD5944"/>
    <w:rsid w:val="00AE1816"/>
    <w:rsid w:val="00AE3AAA"/>
    <w:rsid w:val="00B052AA"/>
    <w:rsid w:val="00B14C4E"/>
    <w:rsid w:val="00B1503E"/>
    <w:rsid w:val="00B23961"/>
    <w:rsid w:val="00B253D9"/>
    <w:rsid w:val="00B2744C"/>
    <w:rsid w:val="00B33250"/>
    <w:rsid w:val="00B33DBD"/>
    <w:rsid w:val="00B35376"/>
    <w:rsid w:val="00B37009"/>
    <w:rsid w:val="00B45392"/>
    <w:rsid w:val="00B578BF"/>
    <w:rsid w:val="00B61D84"/>
    <w:rsid w:val="00B623A4"/>
    <w:rsid w:val="00B64F94"/>
    <w:rsid w:val="00B7690D"/>
    <w:rsid w:val="00B8423C"/>
    <w:rsid w:val="00B84A02"/>
    <w:rsid w:val="00B8719A"/>
    <w:rsid w:val="00B907D3"/>
    <w:rsid w:val="00BA00C2"/>
    <w:rsid w:val="00BC0AF6"/>
    <w:rsid w:val="00BC59CA"/>
    <w:rsid w:val="00BC7241"/>
    <w:rsid w:val="00BD5AC4"/>
    <w:rsid w:val="00BD665C"/>
    <w:rsid w:val="00BE2422"/>
    <w:rsid w:val="00BF2E6F"/>
    <w:rsid w:val="00C00C96"/>
    <w:rsid w:val="00C1029D"/>
    <w:rsid w:val="00C11AC7"/>
    <w:rsid w:val="00C12CDD"/>
    <w:rsid w:val="00C14936"/>
    <w:rsid w:val="00C23093"/>
    <w:rsid w:val="00C237D5"/>
    <w:rsid w:val="00C245D5"/>
    <w:rsid w:val="00C2570D"/>
    <w:rsid w:val="00C271EE"/>
    <w:rsid w:val="00C341B0"/>
    <w:rsid w:val="00C34C0A"/>
    <w:rsid w:val="00C35A8C"/>
    <w:rsid w:val="00C36B7A"/>
    <w:rsid w:val="00C43CF1"/>
    <w:rsid w:val="00C44247"/>
    <w:rsid w:val="00C50A85"/>
    <w:rsid w:val="00C51465"/>
    <w:rsid w:val="00C53980"/>
    <w:rsid w:val="00C55CFB"/>
    <w:rsid w:val="00C60AC6"/>
    <w:rsid w:val="00C659B3"/>
    <w:rsid w:val="00C65D78"/>
    <w:rsid w:val="00C661AD"/>
    <w:rsid w:val="00C66CA6"/>
    <w:rsid w:val="00C706EE"/>
    <w:rsid w:val="00C70E7F"/>
    <w:rsid w:val="00C71FB3"/>
    <w:rsid w:val="00C72E3A"/>
    <w:rsid w:val="00C73D86"/>
    <w:rsid w:val="00C82421"/>
    <w:rsid w:val="00C82C79"/>
    <w:rsid w:val="00C831FE"/>
    <w:rsid w:val="00C93549"/>
    <w:rsid w:val="00C95737"/>
    <w:rsid w:val="00C96533"/>
    <w:rsid w:val="00CA082E"/>
    <w:rsid w:val="00CB4E7B"/>
    <w:rsid w:val="00CB78A8"/>
    <w:rsid w:val="00CC0386"/>
    <w:rsid w:val="00CC1CFF"/>
    <w:rsid w:val="00CD14D4"/>
    <w:rsid w:val="00CD6C84"/>
    <w:rsid w:val="00CE2465"/>
    <w:rsid w:val="00CE43B9"/>
    <w:rsid w:val="00CE7B07"/>
    <w:rsid w:val="00CF5C8B"/>
    <w:rsid w:val="00D00255"/>
    <w:rsid w:val="00D01C59"/>
    <w:rsid w:val="00D0286C"/>
    <w:rsid w:val="00D14EEB"/>
    <w:rsid w:val="00D16B75"/>
    <w:rsid w:val="00D17C62"/>
    <w:rsid w:val="00D22CA7"/>
    <w:rsid w:val="00D251BE"/>
    <w:rsid w:val="00D25DF0"/>
    <w:rsid w:val="00D31918"/>
    <w:rsid w:val="00D31EF2"/>
    <w:rsid w:val="00D43490"/>
    <w:rsid w:val="00D46DC5"/>
    <w:rsid w:val="00D46E94"/>
    <w:rsid w:val="00D50454"/>
    <w:rsid w:val="00D50FD4"/>
    <w:rsid w:val="00D52239"/>
    <w:rsid w:val="00D52A90"/>
    <w:rsid w:val="00D5312C"/>
    <w:rsid w:val="00D531F8"/>
    <w:rsid w:val="00D561BA"/>
    <w:rsid w:val="00D6706D"/>
    <w:rsid w:val="00D70F65"/>
    <w:rsid w:val="00D72637"/>
    <w:rsid w:val="00D736C3"/>
    <w:rsid w:val="00D73EF4"/>
    <w:rsid w:val="00D75B75"/>
    <w:rsid w:val="00D768A9"/>
    <w:rsid w:val="00D8065F"/>
    <w:rsid w:val="00D91AE3"/>
    <w:rsid w:val="00D923A8"/>
    <w:rsid w:val="00DA64F3"/>
    <w:rsid w:val="00DB4790"/>
    <w:rsid w:val="00DB47DD"/>
    <w:rsid w:val="00DB5E7A"/>
    <w:rsid w:val="00DC29F9"/>
    <w:rsid w:val="00DC3D1B"/>
    <w:rsid w:val="00DC4A8D"/>
    <w:rsid w:val="00DC7645"/>
    <w:rsid w:val="00DD0C6E"/>
    <w:rsid w:val="00DD3DC3"/>
    <w:rsid w:val="00DD48FE"/>
    <w:rsid w:val="00DE2674"/>
    <w:rsid w:val="00DF078F"/>
    <w:rsid w:val="00E003D6"/>
    <w:rsid w:val="00E02429"/>
    <w:rsid w:val="00E0276C"/>
    <w:rsid w:val="00E06004"/>
    <w:rsid w:val="00E14F8F"/>
    <w:rsid w:val="00E168D6"/>
    <w:rsid w:val="00E17048"/>
    <w:rsid w:val="00E2345D"/>
    <w:rsid w:val="00E240A3"/>
    <w:rsid w:val="00E30AAC"/>
    <w:rsid w:val="00E31326"/>
    <w:rsid w:val="00E338A2"/>
    <w:rsid w:val="00E33E0B"/>
    <w:rsid w:val="00E341AA"/>
    <w:rsid w:val="00E426EA"/>
    <w:rsid w:val="00E44756"/>
    <w:rsid w:val="00E44E03"/>
    <w:rsid w:val="00E458F2"/>
    <w:rsid w:val="00E546B4"/>
    <w:rsid w:val="00E63543"/>
    <w:rsid w:val="00E6409C"/>
    <w:rsid w:val="00E714DA"/>
    <w:rsid w:val="00E71FF1"/>
    <w:rsid w:val="00E75F97"/>
    <w:rsid w:val="00E77EE3"/>
    <w:rsid w:val="00E84337"/>
    <w:rsid w:val="00E9111E"/>
    <w:rsid w:val="00E943AD"/>
    <w:rsid w:val="00EA0510"/>
    <w:rsid w:val="00EA6113"/>
    <w:rsid w:val="00EB6E91"/>
    <w:rsid w:val="00EB7530"/>
    <w:rsid w:val="00EC5F0D"/>
    <w:rsid w:val="00EE182B"/>
    <w:rsid w:val="00EE6F32"/>
    <w:rsid w:val="00EE7BC9"/>
    <w:rsid w:val="00EF1807"/>
    <w:rsid w:val="00EF4290"/>
    <w:rsid w:val="00EF4595"/>
    <w:rsid w:val="00EF4BAE"/>
    <w:rsid w:val="00F10F30"/>
    <w:rsid w:val="00F12488"/>
    <w:rsid w:val="00F15367"/>
    <w:rsid w:val="00F17755"/>
    <w:rsid w:val="00F26678"/>
    <w:rsid w:val="00F26970"/>
    <w:rsid w:val="00F34A42"/>
    <w:rsid w:val="00F37C16"/>
    <w:rsid w:val="00F408BA"/>
    <w:rsid w:val="00F544A2"/>
    <w:rsid w:val="00F561E3"/>
    <w:rsid w:val="00F62320"/>
    <w:rsid w:val="00F804C0"/>
    <w:rsid w:val="00F81A91"/>
    <w:rsid w:val="00F85FF6"/>
    <w:rsid w:val="00F924ED"/>
    <w:rsid w:val="00F95E9C"/>
    <w:rsid w:val="00FA0D2D"/>
    <w:rsid w:val="00FB7256"/>
    <w:rsid w:val="00FC54D2"/>
    <w:rsid w:val="00FD043C"/>
    <w:rsid w:val="00FD133F"/>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basedOn w:val="Normal"/>
    <w:link w:val="FootnoteTextChar"/>
    <w:uiPriority w:val="99"/>
    <w:semiHidden/>
    <w:unhideWhenUsed/>
    <w:rsid w:val="0016245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C14936"/>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basedOn w:val="Normal"/>
    <w:link w:val="FootnoteTextChar"/>
    <w:uiPriority w:val="99"/>
    <w:semiHidden/>
    <w:unhideWhenUsed/>
    <w:rsid w:val="0016245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C1493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0193">
      <w:bodyDiv w:val="1"/>
      <w:marLeft w:val="0"/>
      <w:marRight w:val="0"/>
      <w:marTop w:val="0"/>
      <w:marBottom w:val="0"/>
      <w:divBdr>
        <w:top w:val="none" w:sz="0" w:space="0" w:color="auto"/>
        <w:left w:val="none" w:sz="0" w:space="0" w:color="auto"/>
        <w:bottom w:val="none" w:sz="0" w:space="0" w:color="auto"/>
        <w:right w:val="none" w:sz="0" w:space="0" w:color="auto"/>
      </w:divBdr>
    </w:div>
    <w:div w:id="231309142">
      <w:bodyDiv w:val="1"/>
      <w:marLeft w:val="0"/>
      <w:marRight w:val="0"/>
      <w:marTop w:val="0"/>
      <w:marBottom w:val="0"/>
      <w:divBdr>
        <w:top w:val="none" w:sz="0" w:space="0" w:color="auto"/>
        <w:left w:val="none" w:sz="0" w:space="0" w:color="auto"/>
        <w:bottom w:val="none" w:sz="0" w:space="0" w:color="auto"/>
        <w:right w:val="none" w:sz="0" w:space="0" w:color="auto"/>
      </w:divBdr>
    </w:div>
    <w:div w:id="368266068">
      <w:bodyDiv w:val="1"/>
      <w:marLeft w:val="0"/>
      <w:marRight w:val="0"/>
      <w:marTop w:val="0"/>
      <w:marBottom w:val="0"/>
      <w:divBdr>
        <w:top w:val="none" w:sz="0" w:space="0" w:color="auto"/>
        <w:left w:val="none" w:sz="0" w:space="0" w:color="auto"/>
        <w:bottom w:val="none" w:sz="0" w:space="0" w:color="auto"/>
        <w:right w:val="none" w:sz="0" w:space="0" w:color="auto"/>
      </w:divBdr>
    </w:div>
    <w:div w:id="1246374630">
      <w:bodyDiv w:val="1"/>
      <w:marLeft w:val="0"/>
      <w:marRight w:val="0"/>
      <w:marTop w:val="0"/>
      <w:marBottom w:val="0"/>
      <w:divBdr>
        <w:top w:val="none" w:sz="0" w:space="0" w:color="auto"/>
        <w:left w:val="none" w:sz="0" w:space="0" w:color="auto"/>
        <w:bottom w:val="none" w:sz="0" w:space="0" w:color="auto"/>
        <w:right w:val="none" w:sz="0" w:space="0" w:color="auto"/>
      </w:divBdr>
    </w:div>
    <w:div w:id="1400787543">
      <w:bodyDiv w:val="1"/>
      <w:marLeft w:val="0"/>
      <w:marRight w:val="0"/>
      <w:marTop w:val="0"/>
      <w:marBottom w:val="0"/>
      <w:divBdr>
        <w:top w:val="none" w:sz="0" w:space="0" w:color="auto"/>
        <w:left w:val="none" w:sz="0" w:space="0" w:color="auto"/>
        <w:bottom w:val="none" w:sz="0" w:space="0" w:color="auto"/>
        <w:right w:val="none" w:sz="0" w:space="0" w:color="auto"/>
      </w:divBdr>
    </w:div>
    <w:div w:id="1563713272">
      <w:bodyDiv w:val="1"/>
      <w:marLeft w:val="0"/>
      <w:marRight w:val="0"/>
      <w:marTop w:val="0"/>
      <w:marBottom w:val="0"/>
      <w:divBdr>
        <w:top w:val="none" w:sz="0" w:space="0" w:color="auto"/>
        <w:left w:val="none" w:sz="0" w:space="0" w:color="auto"/>
        <w:bottom w:val="none" w:sz="0" w:space="0" w:color="auto"/>
        <w:right w:val="none" w:sz="0" w:space="0" w:color="auto"/>
      </w:divBdr>
    </w:div>
    <w:div w:id="1580363626">
      <w:bodyDiv w:val="1"/>
      <w:marLeft w:val="0"/>
      <w:marRight w:val="0"/>
      <w:marTop w:val="0"/>
      <w:marBottom w:val="0"/>
      <w:divBdr>
        <w:top w:val="none" w:sz="0" w:space="0" w:color="auto"/>
        <w:left w:val="none" w:sz="0" w:space="0" w:color="auto"/>
        <w:bottom w:val="none" w:sz="0" w:space="0" w:color="auto"/>
        <w:right w:val="none" w:sz="0" w:space="0" w:color="auto"/>
      </w:divBdr>
    </w:div>
    <w:div w:id="17484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nline.zakon.kz/Document/?doc_id=38924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3E03-ADE9-470F-9306-9E0A1DD2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Naira</cp:lastModifiedBy>
  <cp:revision>2</cp:revision>
  <cp:lastPrinted>2019-06-24T10:28:00Z</cp:lastPrinted>
  <dcterms:created xsi:type="dcterms:W3CDTF">2019-11-05T07:43:00Z</dcterms:created>
  <dcterms:modified xsi:type="dcterms:W3CDTF">2019-11-05T07:43:00Z</dcterms:modified>
</cp:coreProperties>
</file>