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A09B6" w14:textId="598ADFB1" w:rsidR="00677663" w:rsidRPr="000965B4" w:rsidRDefault="00EB2041" w:rsidP="00677663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0965B4">
        <w:rPr>
          <w:rFonts w:ascii="GHEA Grapalat" w:hAnsi="GHEA Grapalat" w:cs="Arial"/>
          <w:b/>
          <w:sz w:val="24"/>
          <w:szCs w:val="24"/>
        </w:rPr>
        <w:t>ՀՀ</w:t>
      </w:r>
      <w:r w:rsidRPr="000965B4">
        <w:rPr>
          <w:rFonts w:ascii="GHEA Grapalat" w:hAnsi="GHEA Grapalat"/>
          <w:b/>
          <w:sz w:val="24"/>
          <w:szCs w:val="24"/>
        </w:rPr>
        <w:t xml:space="preserve"> </w:t>
      </w:r>
      <w:r w:rsidRPr="000965B4">
        <w:rPr>
          <w:rFonts w:ascii="GHEA Grapalat" w:hAnsi="GHEA Grapalat" w:cs="Arial"/>
          <w:b/>
          <w:sz w:val="24"/>
          <w:szCs w:val="24"/>
        </w:rPr>
        <w:t>ՄԱՐԴՈՒ</w:t>
      </w:r>
      <w:r w:rsidRPr="000965B4">
        <w:rPr>
          <w:rFonts w:ascii="GHEA Grapalat" w:hAnsi="GHEA Grapalat"/>
          <w:b/>
          <w:sz w:val="24"/>
          <w:szCs w:val="24"/>
        </w:rPr>
        <w:t xml:space="preserve"> </w:t>
      </w:r>
      <w:r w:rsidRPr="000965B4">
        <w:rPr>
          <w:rFonts w:ascii="GHEA Grapalat" w:hAnsi="GHEA Grapalat" w:cs="Arial"/>
          <w:b/>
          <w:sz w:val="24"/>
          <w:szCs w:val="24"/>
        </w:rPr>
        <w:t>ԻՐԱՎՈՒՆՔՆԵՐԻ</w:t>
      </w:r>
      <w:r w:rsidRPr="000965B4">
        <w:rPr>
          <w:rFonts w:ascii="GHEA Grapalat" w:hAnsi="GHEA Grapalat"/>
          <w:b/>
          <w:sz w:val="24"/>
          <w:szCs w:val="24"/>
        </w:rPr>
        <w:t xml:space="preserve"> </w:t>
      </w:r>
      <w:r w:rsidRPr="000965B4">
        <w:rPr>
          <w:rFonts w:ascii="GHEA Grapalat" w:hAnsi="GHEA Grapalat" w:cs="Arial"/>
          <w:b/>
          <w:sz w:val="24"/>
          <w:szCs w:val="24"/>
        </w:rPr>
        <w:t>ՊԱՇՏՊԱՆԻ</w:t>
      </w:r>
      <w:r w:rsidRPr="000965B4">
        <w:rPr>
          <w:rFonts w:ascii="GHEA Grapalat" w:hAnsi="GHEA Grapalat"/>
          <w:b/>
          <w:sz w:val="24"/>
          <w:szCs w:val="24"/>
        </w:rPr>
        <w:t xml:space="preserve"> </w:t>
      </w:r>
      <w:r w:rsidRPr="000965B4">
        <w:rPr>
          <w:rFonts w:ascii="GHEA Grapalat" w:hAnsi="GHEA Grapalat" w:cs="Arial"/>
          <w:b/>
          <w:sz w:val="24"/>
          <w:szCs w:val="24"/>
        </w:rPr>
        <w:t>ԴԻՐՔՈՐՈՇՈՒՄԸ</w:t>
      </w:r>
    </w:p>
    <w:p w14:paraId="05F36197" w14:textId="190EA664" w:rsidR="00677663" w:rsidRDefault="00677663" w:rsidP="00677663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65B4">
        <w:rPr>
          <w:rFonts w:ascii="GHEA Grapalat" w:hAnsi="GHEA Grapalat"/>
          <w:b/>
          <w:sz w:val="24"/>
          <w:szCs w:val="24"/>
          <w:lang w:val="hy-AM"/>
        </w:rPr>
        <w:t>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«Էս Դի </w:t>
      </w:r>
      <w:proofErr w:type="spellStart"/>
      <w:r>
        <w:rPr>
          <w:rFonts w:ascii="GHEA Grapalat" w:hAnsi="GHEA Grapalat"/>
          <w:b/>
          <w:sz w:val="24"/>
          <w:szCs w:val="24"/>
          <w:lang w:val="hy-AM"/>
        </w:rPr>
        <w:t>Էյ</w:t>
      </w:r>
      <w:proofErr w:type="spellEnd"/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hy-AM"/>
        </w:rPr>
        <w:t>Թրավել</w:t>
      </w:r>
      <w:proofErr w:type="spellEnd"/>
      <w:r>
        <w:rPr>
          <w:rFonts w:ascii="GHEA Grapalat" w:hAnsi="GHEA Grapalat"/>
          <w:b/>
          <w:sz w:val="24"/>
          <w:szCs w:val="24"/>
          <w:lang w:val="hy-AM"/>
        </w:rPr>
        <w:t>» ՍՊԸ-ի ներկայացուցիչներ՝ փաստաբաններ Տիգրան Եգորյանի և Լուսինե Հակոբյանի դիմումի հիման վրա</w:t>
      </w:r>
      <w:r w:rsidRPr="000965B4">
        <w:rPr>
          <w:rFonts w:ascii="GHEA Grapalat" w:hAnsi="GHEA Grapalat"/>
          <w:b/>
          <w:sz w:val="24"/>
          <w:szCs w:val="24"/>
          <w:lang w:val="hy-AM"/>
        </w:rPr>
        <w:t xml:space="preserve">՝ ՀՀ </w:t>
      </w:r>
      <w:r>
        <w:rPr>
          <w:rFonts w:ascii="GHEA Grapalat" w:hAnsi="GHEA Grapalat"/>
          <w:b/>
          <w:sz w:val="24"/>
          <w:szCs w:val="24"/>
          <w:lang w:val="hy-AM"/>
        </w:rPr>
        <w:t>քաղաքացիական</w:t>
      </w:r>
      <w:r w:rsidRPr="000965B4">
        <w:rPr>
          <w:rFonts w:ascii="GHEA Grapalat" w:hAnsi="GHEA Grapalat"/>
          <w:b/>
          <w:sz w:val="24"/>
          <w:szCs w:val="24"/>
          <w:lang w:val="hy-AM"/>
        </w:rPr>
        <w:t xml:space="preserve"> դատավարության օրենսգրքի </w:t>
      </w:r>
      <w:r>
        <w:rPr>
          <w:rFonts w:ascii="GHEA Grapalat" w:hAnsi="GHEA Grapalat"/>
          <w:b/>
          <w:sz w:val="24"/>
          <w:szCs w:val="24"/>
          <w:lang w:val="hy-AM"/>
        </w:rPr>
        <w:t>75-</w:t>
      </w:r>
      <w:r w:rsidRPr="000965B4">
        <w:rPr>
          <w:rFonts w:ascii="GHEA Grapalat" w:hAnsi="GHEA Grapalat"/>
          <w:b/>
          <w:sz w:val="24"/>
          <w:szCs w:val="24"/>
          <w:lang w:val="hy-AM"/>
        </w:rPr>
        <w:t>րդ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և 221․1 հոդվածների</w:t>
      </w:r>
      <w:r>
        <w:rPr>
          <w:rFonts w:ascii="GHEA Grapalat" w:hAnsi="GHEA Grapalat"/>
          <w:b/>
          <w:sz w:val="24"/>
          <w:szCs w:val="24"/>
        </w:rPr>
        <w:t>`</w:t>
      </w:r>
      <w:r w:rsidRPr="000965B4">
        <w:rPr>
          <w:rFonts w:ascii="GHEA Grapalat" w:hAnsi="GHEA Grapalat"/>
          <w:b/>
          <w:sz w:val="24"/>
          <w:szCs w:val="24"/>
          <w:lang w:val="hy-AM"/>
        </w:rPr>
        <w:t xml:space="preserve"> ՀՀ Սահմանադրության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1-ին, 3-րդ, 28-րդ, 29-րդ հոդվածներին, 61-րդ հոդվածի 1-ին մասին, 63-րդ հոդվածի 1-ին մասին, 75-րդ, 78-րդ, 79-րդ, 80-րդ և 81-րդ  հոդվածների </w:t>
      </w:r>
      <w:r w:rsidRPr="0003650F">
        <w:rPr>
          <w:rFonts w:ascii="GHEA Grapalat" w:hAnsi="GHEA Grapalat"/>
          <w:b/>
          <w:sz w:val="24"/>
          <w:szCs w:val="24"/>
          <w:lang w:val="hy-AM"/>
        </w:rPr>
        <w:t>համապատասխանության հարցը որոշելու վերաբերյալ գործի» կապակցությամբ</w:t>
      </w:r>
    </w:p>
    <w:p w14:paraId="64F3827E" w14:textId="77777777" w:rsidR="00677663" w:rsidRDefault="00677663" w:rsidP="00677663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CE21528" w14:textId="77777777" w:rsidR="00677663" w:rsidRDefault="00677663" w:rsidP="00677663">
      <w:pPr>
        <w:spacing w:after="0" w:line="360" w:lineRule="auto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0965B4">
        <w:rPr>
          <w:rFonts w:ascii="GHEA Grapalat" w:hAnsi="GHEA Grapalat"/>
          <w:b/>
          <w:sz w:val="24"/>
          <w:szCs w:val="24"/>
          <w:u w:val="single"/>
          <w:lang w:val="hy-AM"/>
        </w:rPr>
        <w:t>Դիմող կողմի պահանջը</w:t>
      </w:r>
    </w:p>
    <w:p w14:paraId="5D1B9E59" w14:textId="20807DDF" w:rsidR="00677663" w:rsidRPr="000965B4" w:rsidRDefault="00677663" w:rsidP="00677663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Փաստաբաններ Տիգրան Եգորյանը և Լուսինե Հակոբյանը, ղեկավարվելով</w:t>
      </w:r>
      <w:r w:rsidRPr="000965B4">
        <w:rPr>
          <w:rFonts w:ascii="GHEA Grapalat" w:hAnsi="GHEA Grapalat"/>
          <w:sz w:val="24"/>
          <w:szCs w:val="24"/>
          <w:lang w:val="hy-AM"/>
        </w:rPr>
        <w:t xml:space="preserve"> ՀՀ Սահմանադրության 101-րդ հոդվածի 1-ին մասի 7-րդ կետով (2005 թվականի փոփոխություններ), «Սահմանադրական դատարանի մասին» ՀՀ օրենքի 25-րդ և 71-րդ հոդվածներով</w:t>
      </w:r>
      <w:r w:rsidR="00C236BB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65B4">
        <w:rPr>
          <w:rFonts w:ascii="GHEA Grapalat" w:hAnsi="GHEA Grapalat"/>
          <w:sz w:val="24"/>
          <w:szCs w:val="24"/>
          <w:lang w:val="hy-AM"/>
        </w:rPr>
        <w:t xml:space="preserve">դիմել </w:t>
      </w:r>
      <w:r w:rsidR="00C236BB">
        <w:rPr>
          <w:rFonts w:ascii="GHEA Grapalat" w:hAnsi="GHEA Grapalat"/>
          <w:sz w:val="24"/>
          <w:szCs w:val="24"/>
          <w:lang w:val="hy-AM"/>
        </w:rPr>
        <w:t>են</w:t>
      </w:r>
      <w:r w:rsidR="00C236BB" w:rsidRPr="000965B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65B4">
        <w:rPr>
          <w:rFonts w:ascii="GHEA Grapalat" w:hAnsi="GHEA Grapalat"/>
          <w:sz w:val="24"/>
          <w:szCs w:val="24"/>
          <w:lang w:val="hy-AM"/>
        </w:rPr>
        <w:t xml:space="preserve">ՀՀ սահմանադրական դատարան՝ </w:t>
      </w:r>
      <w:r w:rsidRPr="007C3F7E">
        <w:rPr>
          <w:rFonts w:ascii="GHEA Grapalat" w:hAnsi="GHEA Grapalat"/>
          <w:sz w:val="24"/>
          <w:szCs w:val="24"/>
          <w:lang w:val="hy-AM"/>
        </w:rPr>
        <w:t>ՀՀ քաղաքացիական դատավարության օրենսգրքի</w:t>
      </w:r>
      <w:r w:rsidR="007C3F7E" w:rsidRPr="007C3F7E">
        <w:rPr>
          <w:vertAlign w:val="superscript"/>
        </w:rPr>
        <w:footnoteReference w:id="1"/>
      </w:r>
      <w:r w:rsidRPr="007C3F7E">
        <w:rPr>
          <w:rFonts w:ascii="GHEA Grapalat" w:hAnsi="GHEA Grapalat"/>
          <w:sz w:val="24"/>
          <w:szCs w:val="24"/>
          <w:lang w:val="hy-AM"/>
        </w:rPr>
        <w:t xml:space="preserve"> 75-րդ և 221</w:t>
      </w:r>
      <w:r w:rsidRPr="007C3F7E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7C3F7E">
        <w:rPr>
          <w:rFonts w:ascii="GHEA Grapalat" w:hAnsi="GHEA Grapalat"/>
          <w:sz w:val="24"/>
          <w:szCs w:val="24"/>
          <w:lang w:val="hy-AM"/>
        </w:rPr>
        <w:t>1 հոդվածների</w:t>
      </w:r>
      <w:r w:rsidR="00C236BB">
        <w:rPr>
          <w:rFonts w:ascii="GHEA Grapalat" w:hAnsi="GHEA Grapalat"/>
          <w:sz w:val="24"/>
          <w:szCs w:val="24"/>
          <w:lang w:val="hy-AM"/>
        </w:rPr>
        <w:t>՝</w:t>
      </w:r>
      <w:r w:rsidRPr="007C3F7E">
        <w:rPr>
          <w:rFonts w:ascii="GHEA Grapalat" w:hAnsi="GHEA Grapalat"/>
          <w:sz w:val="24"/>
          <w:szCs w:val="24"/>
          <w:lang w:val="hy-AM"/>
        </w:rPr>
        <w:t xml:space="preserve"> ՀՀ Սահմանադրության համապատասխանության հարցի լուծման խնդրանքով</w:t>
      </w:r>
      <w:r w:rsidRPr="00770658">
        <w:rPr>
          <w:rFonts w:ascii="GHEA Grapalat" w:eastAsia="Times New Roman" w:hAnsi="GHEA Grapalat" w:cs="Arial"/>
          <w:color w:val="000000"/>
          <w:sz w:val="24"/>
          <w:szCs w:val="24"/>
          <w:shd w:val="clear" w:color="auto" w:fill="FFFFFF"/>
          <w:lang w:val="hy-AM"/>
        </w:rPr>
        <w:t>։</w:t>
      </w:r>
    </w:p>
    <w:p w14:paraId="266D8F2A" w14:textId="74A878EC" w:rsidR="00677663" w:rsidRPr="007C3F7E" w:rsidRDefault="00677663" w:rsidP="00756A32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</w:pPr>
    </w:p>
    <w:p w14:paraId="2A496BB1" w14:textId="2F8F91A4" w:rsidR="007C3F7E" w:rsidRPr="007C3F7E" w:rsidRDefault="007C3F7E" w:rsidP="007C3F7E">
      <w:pPr>
        <w:pStyle w:val="ListParagraph"/>
        <w:tabs>
          <w:tab w:val="left" w:pos="0"/>
          <w:tab w:val="left" w:pos="720"/>
        </w:tabs>
        <w:spacing w:line="360" w:lineRule="auto"/>
        <w:ind w:left="0"/>
        <w:jc w:val="both"/>
        <w:rPr>
          <w:rFonts w:ascii="GHEA Grapalat" w:hAnsi="GHEA Grapalat"/>
          <w:b/>
          <w:u w:val="single"/>
          <w:lang w:val="hy-AM"/>
        </w:rPr>
      </w:pPr>
      <w:r w:rsidRPr="007C3F7E">
        <w:rPr>
          <w:rFonts w:ascii="GHEA Grapalat" w:hAnsi="GHEA Grapalat"/>
          <w:b/>
          <w:u w:val="single"/>
          <w:lang w:val="hy-AM"/>
        </w:rPr>
        <w:t>ՀՀ քաղաքացիական դատավարության օրենսգրքի 75-րդ և 221</w:t>
      </w:r>
      <w:r w:rsidRPr="007C3F7E">
        <w:rPr>
          <w:rFonts w:ascii="MS Gothic" w:eastAsia="MS Gothic" w:hAnsi="MS Gothic" w:cs="MS Gothic" w:hint="eastAsia"/>
          <w:b/>
          <w:u w:val="single"/>
          <w:lang w:val="hy-AM"/>
        </w:rPr>
        <w:t>․</w:t>
      </w:r>
      <w:r w:rsidRPr="007C3F7E">
        <w:rPr>
          <w:rFonts w:ascii="GHEA Grapalat" w:hAnsi="GHEA Grapalat"/>
          <w:b/>
          <w:u w:val="single"/>
          <w:lang w:val="hy-AM"/>
        </w:rPr>
        <w:t>1 հոդվածների</w:t>
      </w:r>
      <w:r w:rsidRPr="007C3F7E">
        <w:rPr>
          <w:rFonts w:ascii="GHEA Grapalat" w:hAnsi="GHEA Grapalat"/>
          <w:u w:val="single"/>
          <w:lang w:val="hy-AM"/>
        </w:rPr>
        <w:t xml:space="preserve"> </w:t>
      </w:r>
      <w:r w:rsidRPr="007C3F7E">
        <w:rPr>
          <w:rFonts w:ascii="GHEA Grapalat" w:hAnsi="GHEA Grapalat"/>
          <w:b/>
          <w:u w:val="single"/>
          <w:lang w:val="hy-AM"/>
        </w:rPr>
        <w:t>ՀՀ Սահմանադրության համապատասխանության հարցի վերաբերյալ ՀՀ մարդու իրավունքների պաշտպանի աշխատակազմի վերլուծությունը</w:t>
      </w:r>
    </w:p>
    <w:p w14:paraId="2257010D" w14:textId="29346DE7" w:rsidR="00941714" w:rsidRPr="00756A32" w:rsidRDefault="00941714" w:rsidP="007C3F7E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756A3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Դատավարական ժամկետը օրենքով սահմանված կամ դատարանի կողմից նշանակված որոշակի ժամանակամիջոց է, որի ընթացքում դատարանը, կողմերը և դատական գործի մյուս </w:t>
      </w:r>
      <w:r w:rsidR="00C236B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մասնակիցներն</w:t>
      </w:r>
      <w:r w:rsidRPr="00756A3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իրավունք ունեն կամ պարտավոր են կատարել</w:t>
      </w:r>
      <w:r w:rsidR="00C236B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756A3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որոշակի դատավարական գործողություններ։ Քաղաքացիական դատավարության օրենսգրքով սահմանվում են առանձին դատավարական գործողությունների կատարման օրենքով սահմանված ժամկետներ։ Այսպես</w:t>
      </w:r>
      <w:r w:rsidR="00C236B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</w:t>
      </w:r>
      <w:r w:rsidRPr="00756A3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քննարկվող դեպքի շրջանակներում ներկայացված հարցի հանգամանքները վերաբերում են վերաքննիչ բողոք  բերելու համար </w:t>
      </w:r>
      <w:r w:rsidRPr="00756A3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lastRenderedPageBreak/>
        <w:t xml:space="preserve">սահմանված 1 ամսյա ժամկետը տարբեր ամիսներին տարբեր օրերի քանակական պարունակություն </w:t>
      </w:r>
      <w:proofErr w:type="spellStart"/>
      <w:r w:rsidRPr="00756A3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ունենալուն</w:t>
      </w:r>
      <w:proofErr w:type="spellEnd"/>
      <w:r w:rsidRPr="00756A3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։ </w:t>
      </w:r>
      <w:r w:rsidR="00387775" w:rsidRPr="00756A3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Օրենսդիրը դատական բողոքարկման համար 1 ամիս ժամկետ սահմանելով, նախատեսել է այն ժամանակահատվածը, որի ընթացքում կողմ</w:t>
      </w:r>
      <w:r w:rsidR="00CF502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</w:t>
      </w:r>
      <w:r w:rsidR="00387775" w:rsidRPr="00756A3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օբյեկտիվորեն հնարավորություն կունենա վճիռը բողոքարկելու համար ձեռնարկել համապատասխան միջոցառումներ։ Այս դեպքում հիշատակման է արժանի նաև այն կարգավորումը, երբ Օրենսգրքով սահմանված դեպքերում գործն ըստ էության լուծող դատական ակտի </w:t>
      </w:r>
      <w:proofErr w:type="spellStart"/>
      <w:r w:rsidR="00387775" w:rsidRPr="00756A3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հրապարկման</w:t>
      </w:r>
      <w:proofErr w:type="spellEnd"/>
      <w:r w:rsidR="00387775" w:rsidRPr="00756A3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պահից օրինակ</w:t>
      </w:r>
      <w:r w:rsidR="00AC5D4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ան</w:t>
      </w:r>
      <w:r w:rsidR="00387775" w:rsidRPr="00756A3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ուժի մեջ մտնելուց հետո, դատավարության մասնակիցներին ընձեռնվում է վերադասության կարգով դատական ակտի բողոքարկման իրավունքի իրացման մեկամսյա ժամկետ։ </w:t>
      </w:r>
    </w:p>
    <w:p w14:paraId="61FCA404" w14:textId="5481F5FA" w:rsidR="00C236BB" w:rsidRDefault="00387775" w:rsidP="007C3F7E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756A3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Իր մի շարք որոշումներում </w:t>
      </w:r>
      <w:r w:rsidR="00CF502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</w:t>
      </w:r>
      <w:r w:rsidRPr="00756A3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ահմանադրական դատարանն անդրադարձել է բողոքարկման և դրա համար տրամադրվող ժամկետի </w:t>
      </w:r>
      <w:r w:rsidR="00A776E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պահպանման</w:t>
      </w:r>
      <w:r w:rsidR="00A776E0" w:rsidRPr="00756A3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756A3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կարևորության</w:t>
      </w:r>
      <w:proofErr w:type="spellEnd"/>
      <w:r w:rsidRPr="00756A3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հարցին։ Այսպես, </w:t>
      </w:r>
      <w:r w:rsidR="007C3F7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2012 թվականի</w:t>
      </w:r>
      <w:r w:rsidRPr="00756A3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7C3F7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դեկտեմբերի 18-ի </w:t>
      </w:r>
      <w:r w:rsidRPr="00756A3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ՍԴՈ-1062 որոշմամբ Սահմանադրական դատարանը ներկայացրել է դիրքորոշում</w:t>
      </w:r>
      <w:r w:rsidR="00C236B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՝ այն է՝</w:t>
      </w:r>
      <w:r w:rsidRPr="00756A32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756A32">
        <w:rPr>
          <w:rFonts w:ascii="GHEA Grapalat" w:hAnsi="GHEA Grapalat" w:cs="GHEA Grapalat"/>
          <w:color w:val="000000"/>
          <w:sz w:val="24"/>
          <w:szCs w:val="24"/>
          <w:lang w:val="hy-AM"/>
        </w:rPr>
        <w:t>«…</w:t>
      </w:r>
      <w:r w:rsidRPr="00756A32">
        <w:rPr>
          <w:rFonts w:ascii="GHEA Grapalat" w:hAnsi="GHEA Grapalat"/>
          <w:color w:val="000000"/>
          <w:sz w:val="24"/>
          <w:szCs w:val="24"/>
          <w:lang w:val="hy-AM"/>
        </w:rPr>
        <w:t xml:space="preserve"> սույն գործով օրենսգրքի վիճարկվող դրույթով գործն ըստ էության լուծող դատական ակտի բողոքարկման ժամկետը դատական ակտի հրապարակման պահից </w:t>
      </w:r>
      <w:proofErr w:type="spellStart"/>
      <w:r w:rsidRPr="00756A32">
        <w:rPr>
          <w:rFonts w:ascii="GHEA Grapalat" w:hAnsi="GHEA Grapalat"/>
          <w:color w:val="000000"/>
          <w:sz w:val="24"/>
          <w:szCs w:val="24"/>
          <w:lang w:val="hy-AM"/>
        </w:rPr>
        <w:t>հաշվարկելն</w:t>
      </w:r>
      <w:proofErr w:type="spellEnd"/>
      <w:r w:rsidRPr="00756A32">
        <w:rPr>
          <w:rFonts w:ascii="GHEA Grapalat" w:hAnsi="GHEA Grapalat"/>
          <w:color w:val="000000"/>
          <w:sz w:val="24"/>
          <w:szCs w:val="24"/>
          <w:lang w:val="hy-AM"/>
        </w:rPr>
        <w:t xml:space="preserve"> ինքնին չի հակասում ՀՀ Սահմանադրությանը, եթե առկա են դատական </w:t>
      </w:r>
      <w:proofErr w:type="spellStart"/>
      <w:r w:rsidRPr="00756A32">
        <w:rPr>
          <w:rFonts w:ascii="GHEA Grapalat" w:hAnsi="GHEA Grapalat"/>
          <w:color w:val="000000"/>
          <w:sz w:val="24"/>
          <w:szCs w:val="24"/>
          <w:lang w:val="hy-AM"/>
        </w:rPr>
        <w:t>ակտին</w:t>
      </w:r>
      <w:proofErr w:type="spellEnd"/>
      <w:r w:rsidRPr="00756A32">
        <w:rPr>
          <w:rFonts w:ascii="GHEA Grapalat" w:hAnsi="GHEA Grapalat"/>
          <w:color w:val="000000"/>
          <w:sz w:val="24"/>
          <w:szCs w:val="24"/>
          <w:lang w:val="hy-AM"/>
        </w:rPr>
        <w:t xml:space="preserve"> ծանոթանալու և դրա բողոքարկման իրավունքն արդյունավետ իրականացնելու համար բավարար ժամանակ ապահովող երաշխիքներ։ Ինչպես արդեն նշվեց, </w:t>
      </w:r>
      <w:r w:rsidR="00CF502C">
        <w:rPr>
          <w:rFonts w:ascii="GHEA Grapalat" w:hAnsi="GHEA Grapalat"/>
          <w:color w:val="000000"/>
          <w:sz w:val="24"/>
          <w:szCs w:val="24"/>
          <w:lang w:val="hy-AM"/>
        </w:rPr>
        <w:t>Ս</w:t>
      </w:r>
      <w:r w:rsidRPr="00756A32">
        <w:rPr>
          <w:rFonts w:ascii="GHEA Grapalat" w:hAnsi="GHEA Grapalat"/>
          <w:color w:val="000000"/>
          <w:sz w:val="24"/>
          <w:szCs w:val="24"/>
          <w:lang w:val="hy-AM"/>
        </w:rPr>
        <w:t xml:space="preserve">ահմանադրական դատարանի կողմից որպես այդպիսի երաշխիք է ճանաչվել օրենսգրքի 402-րդ հոդվածը և այն էլ միայն այն դեպքում, </w:t>
      </w:r>
      <w:r w:rsidR="00BA41A0" w:rsidRPr="00756A32">
        <w:rPr>
          <w:rFonts w:ascii="GHEA Grapalat" w:hAnsi="GHEA Grapalat"/>
          <w:color w:val="000000"/>
          <w:sz w:val="24"/>
          <w:szCs w:val="24"/>
          <w:lang w:val="hy-AM"/>
        </w:rPr>
        <w:t>ե</w:t>
      </w:r>
      <w:r w:rsidRPr="00756A32">
        <w:rPr>
          <w:rFonts w:ascii="GHEA Grapalat" w:hAnsi="GHEA Grapalat"/>
          <w:color w:val="000000"/>
          <w:sz w:val="24"/>
          <w:szCs w:val="24"/>
          <w:lang w:val="hy-AM"/>
        </w:rPr>
        <w:t xml:space="preserve">րբ նշված հոդվածի 2-րդ մասով նախատեսված </w:t>
      </w:r>
      <w:r w:rsidR="00BA41A0" w:rsidRPr="00756A32">
        <w:rPr>
          <w:rFonts w:ascii="GHEA Grapalat" w:hAnsi="GHEA Grapalat"/>
          <w:color w:val="000000"/>
          <w:sz w:val="24"/>
          <w:szCs w:val="24"/>
          <w:lang w:val="hy-AM"/>
        </w:rPr>
        <w:t>եռօրյա ժամկետում դատական ակտը տրամադրվում/ հասանելի է դարձվում անձին։</w:t>
      </w:r>
      <w:r w:rsidRPr="00756A32">
        <w:rPr>
          <w:rFonts w:ascii="GHEA Grapalat" w:hAnsi="GHEA Grapalat"/>
          <w:color w:val="000000"/>
          <w:sz w:val="24"/>
          <w:szCs w:val="24"/>
          <w:lang w:val="hy-AM"/>
        </w:rPr>
        <w:t xml:space="preserve"> Այսինքն, համաձայն գործող օրենսդրության՝ անձն առնվազն 27 օր ժամանակ պետք է ունենա հիմնավոր բողոք ներկայացնելու համար</w:t>
      </w:r>
      <w:r w:rsidR="00A776E0">
        <w:rPr>
          <w:rFonts w:ascii="GHEA Grapalat" w:hAnsi="GHEA Grapalat"/>
          <w:color w:val="000000"/>
          <w:sz w:val="24"/>
          <w:szCs w:val="24"/>
          <w:lang w:val="hy-AM"/>
        </w:rPr>
        <w:t>:</w:t>
      </w:r>
      <w:r w:rsidRPr="00756A32">
        <w:rPr>
          <w:rFonts w:ascii="GHEA Grapalat" w:hAnsi="GHEA Grapalat"/>
          <w:color w:val="000000"/>
          <w:sz w:val="24"/>
          <w:szCs w:val="24"/>
          <w:lang w:val="hy-AM"/>
        </w:rPr>
        <w:t xml:space="preserve">»։ Միաժամանակ հարկ է նշել, որ </w:t>
      </w:r>
      <w:r w:rsidR="00BA41A0" w:rsidRPr="00756A32">
        <w:rPr>
          <w:rFonts w:ascii="GHEA Grapalat" w:hAnsi="GHEA Grapalat"/>
          <w:color w:val="000000"/>
          <w:sz w:val="24"/>
          <w:szCs w:val="24"/>
          <w:lang w:val="hy-AM"/>
        </w:rPr>
        <w:t>Սահման</w:t>
      </w:r>
      <w:r w:rsidR="00CF502C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r w:rsidR="00BA41A0" w:rsidRPr="00756A32">
        <w:rPr>
          <w:rFonts w:ascii="GHEA Grapalat" w:hAnsi="GHEA Grapalat"/>
          <w:color w:val="000000"/>
          <w:sz w:val="24"/>
          <w:szCs w:val="24"/>
          <w:lang w:val="hy-AM"/>
        </w:rPr>
        <w:t>դրական դատարանը</w:t>
      </w:r>
      <w:r w:rsidR="00CF502C">
        <w:rPr>
          <w:rFonts w:ascii="GHEA Grapalat" w:hAnsi="GHEA Grapalat"/>
          <w:color w:val="000000"/>
          <w:sz w:val="24"/>
          <w:szCs w:val="24"/>
          <w:lang w:val="hy-AM"/>
        </w:rPr>
        <w:t>,</w:t>
      </w:r>
      <w:r w:rsidR="00BA41A0" w:rsidRPr="00756A32">
        <w:rPr>
          <w:rFonts w:ascii="GHEA Grapalat" w:hAnsi="GHEA Grapalat"/>
          <w:color w:val="000000"/>
          <w:sz w:val="24"/>
          <w:szCs w:val="24"/>
          <w:lang w:val="hy-AM"/>
        </w:rPr>
        <w:t xml:space="preserve"> խոսելով եռօրյա ժամկետում դատական ակտը անձին տրամադրելու/ հասանելի դարձնելու դեպքում հիմնավոր բողոք ներկայացնելու համար անհրաժեշտ առնվազն 27 օրվա մասին, դիտարկել է 31 օր ունեցող ամ</w:t>
      </w:r>
      <w:r w:rsidR="00A776E0">
        <w:rPr>
          <w:rFonts w:ascii="GHEA Grapalat" w:hAnsi="GHEA Grapalat"/>
          <w:color w:val="000000"/>
          <w:sz w:val="24"/>
          <w:szCs w:val="24"/>
          <w:lang w:val="hy-AM"/>
        </w:rPr>
        <w:t>իսը</w:t>
      </w:r>
      <w:r w:rsidR="00BA41A0" w:rsidRPr="00756A32">
        <w:rPr>
          <w:rFonts w:ascii="GHEA Grapalat" w:hAnsi="GHEA Grapalat"/>
          <w:color w:val="000000"/>
          <w:sz w:val="24"/>
          <w:szCs w:val="24"/>
          <w:lang w:val="hy-AM"/>
        </w:rPr>
        <w:t xml:space="preserve">։ </w:t>
      </w:r>
    </w:p>
    <w:p w14:paraId="7ED00E82" w14:textId="75A8A631" w:rsidR="00CF502C" w:rsidRDefault="00BA41A0" w:rsidP="007C3F7E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756A32">
        <w:rPr>
          <w:rFonts w:ascii="GHEA Grapalat" w:hAnsi="GHEA Grapalat"/>
          <w:color w:val="000000"/>
          <w:sz w:val="24"/>
          <w:szCs w:val="24"/>
          <w:lang w:val="hy-AM"/>
        </w:rPr>
        <w:t xml:space="preserve">Սակայն քննարկման առարկա դարձնենք փետրվար ամիսը։ Այսպես, փետրվար ամիսը բաղկացած է 28 օրից (նահանջ տարիներին՝ 29 օր) և եռօրյա ժամկետում դատական </w:t>
      </w:r>
      <w:r w:rsidRPr="00756A32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 xml:space="preserve">ակտը անձին տրամադրելու/ հասանելի դարձնելու դեպքում անձը կունենա համապատասխանաբար 25 և 26 օր նահանջ տարիների համար։ </w:t>
      </w:r>
    </w:p>
    <w:p w14:paraId="13E20AB7" w14:textId="348A2CF5" w:rsidR="000C07D3" w:rsidRDefault="00C236BB" w:rsidP="000C07D3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Քաղաքացիական դատավարության օրենսգրքի </w:t>
      </w:r>
      <w:r w:rsidR="00AC5D4B">
        <w:rPr>
          <w:rFonts w:ascii="GHEA Grapalat" w:hAnsi="GHEA Grapalat"/>
          <w:color w:val="000000"/>
          <w:sz w:val="24"/>
          <w:szCs w:val="24"/>
          <w:lang w:val="hy-AM"/>
        </w:rPr>
        <w:t>124-րդ հոդվածով նախատեսվում է, որ</w:t>
      </w:r>
      <w:r w:rsidR="00BA41A0" w:rsidRPr="00756A3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756A32" w:rsidRPr="00756A3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գ</w:t>
      </w:r>
      <w:r w:rsidR="00BA41A0" w:rsidRPr="00756A3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ործի մասնակիցներից </w:t>
      </w:r>
      <w:proofErr w:type="spellStart"/>
      <w:r w:rsidR="00BA41A0" w:rsidRPr="00756A3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որևէ</w:t>
      </w:r>
      <w:proofErr w:type="spellEnd"/>
      <w:r w:rsidR="00BA41A0" w:rsidRPr="00756A3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մեկի ներկայացած չլինելու դեպքում վճռի օրինակը հրապարակման կամ հաջորդ օրը պատվիրված նամակով ուղարկվում է նրան:</w:t>
      </w:r>
      <w:r w:rsidR="00756A32" w:rsidRPr="00756A3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Այս դեպքում </w:t>
      </w:r>
      <w:proofErr w:type="spellStart"/>
      <w:r w:rsidR="00756A32" w:rsidRPr="00756A3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թեև</w:t>
      </w:r>
      <w:proofErr w:type="spellEnd"/>
      <w:r w:rsidR="00756A32" w:rsidRPr="00756A3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կողմն ունենում է </w:t>
      </w:r>
      <w:r w:rsidR="00CF502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</w:t>
      </w:r>
      <w:r w:rsidR="00756A32" w:rsidRPr="00756A3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ահմանադրական դատարանի վերը նշված դիրքորոշմամբ բողոքարկման համար սահմանված նվազագույն 27 օրը, այնուամենայնիվ, անձը հայտնվում է պակաս բարենպաստ վիճակում, քան այլ ամիսներին քննվող գործի կողմը, որը ներկայացված դեպքում իր հաշվեկշռում կունենար 30 կամ նվազագույնը 29 օր։  Նույն որոշմամբ </w:t>
      </w:r>
      <w:proofErr w:type="spellStart"/>
      <w:r w:rsidR="00756A32" w:rsidRPr="00756A3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Սահամանադրական</w:t>
      </w:r>
      <w:proofErr w:type="spellEnd"/>
      <w:r w:rsidR="00756A32" w:rsidRPr="00756A3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դատարանը հայտնել է դիրքորոշում նաև առ այն, որ </w:t>
      </w:r>
      <w:r w:rsidR="00756A32" w:rsidRPr="00756A32">
        <w:rPr>
          <w:rFonts w:ascii="GHEA Grapalat" w:hAnsi="GHEA Grapalat"/>
          <w:color w:val="000000"/>
          <w:sz w:val="24"/>
          <w:szCs w:val="24"/>
          <w:lang w:val="hy-AM"/>
        </w:rPr>
        <w:t>այլ խնդիր է, թե Սահմանադրության 18</w:t>
      </w:r>
      <w:r>
        <w:rPr>
          <w:rFonts w:ascii="GHEA Grapalat" w:hAnsi="GHEA Grapalat"/>
          <w:color w:val="000000"/>
          <w:sz w:val="24"/>
          <w:szCs w:val="24"/>
          <w:lang w:val="hy-AM"/>
        </w:rPr>
        <w:t>-րդ</w:t>
      </w:r>
      <w:r w:rsidR="00756A32" w:rsidRPr="00756A32">
        <w:rPr>
          <w:rFonts w:ascii="GHEA Grapalat" w:hAnsi="GHEA Grapalat"/>
          <w:color w:val="000000"/>
          <w:sz w:val="24"/>
          <w:szCs w:val="24"/>
          <w:lang w:val="hy-AM"/>
        </w:rPr>
        <w:t xml:space="preserve"> և 19-րդ հոդվածներով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նախատեսված</w:t>
      </w:r>
      <w:r w:rsidR="00756A32" w:rsidRPr="00756A32">
        <w:rPr>
          <w:rFonts w:ascii="GHEA Grapalat" w:hAnsi="GHEA Grapalat"/>
          <w:color w:val="000000"/>
          <w:sz w:val="24"/>
          <w:szCs w:val="24"/>
          <w:lang w:val="hy-AM"/>
        </w:rPr>
        <w:t xml:space="preserve"> դատական պաշտպանության արդյունավետ միջոցների և արդար դատաքննության իրավունքների համատեքստում </w:t>
      </w:r>
      <w:proofErr w:type="spellStart"/>
      <w:r w:rsidR="00756A32" w:rsidRPr="00756A32">
        <w:rPr>
          <w:rFonts w:ascii="GHEA Grapalat" w:hAnsi="GHEA Grapalat"/>
          <w:color w:val="000000"/>
          <w:sz w:val="24"/>
          <w:szCs w:val="24"/>
          <w:lang w:val="hy-AM"/>
        </w:rPr>
        <w:t>որքանո</w:t>
      </w:r>
      <w:r>
        <w:rPr>
          <w:rFonts w:ascii="GHEA Grapalat" w:hAnsi="GHEA Grapalat"/>
          <w:color w:val="000000"/>
          <w:sz w:val="24"/>
          <w:szCs w:val="24"/>
          <w:lang w:val="hy-AM"/>
        </w:rPr>
        <w:t>՞</w:t>
      </w:r>
      <w:r w:rsidR="00756A32" w:rsidRPr="00756A32">
        <w:rPr>
          <w:rFonts w:ascii="GHEA Grapalat" w:hAnsi="GHEA Grapalat"/>
          <w:color w:val="000000"/>
          <w:sz w:val="24"/>
          <w:szCs w:val="24"/>
          <w:lang w:val="hy-AM"/>
        </w:rPr>
        <w:t>վ</w:t>
      </w:r>
      <w:proofErr w:type="spellEnd"/>
      <w:r w:rsidR="00756A32" w:rsidRPr="00756A32">
        <w:rPr>
          <w:rFonts w:ascii="GHEA Grapalat" w:hAnsi="GHEA Grapalat"/>
          <w:color w:val="000000"/>
          <w:sz w:val="24"/>
          <w:szCs w:val="24"/>
          <w:lang w:val="hy-AM"/>
        </w:rPr>
        <w:t xml:space="preserve"> է երաշխավորված օրենքով նախատեսված բողոքարկման ժամկետներից օգտվելու իրավական հնարավորությունը՝ հաշվի առնելով դատական ակտի հրապարակման և դատական ակտը հասցեատիրոջը փաստացիորեն հանձնելու պահերի </w:t>
      </w:r>
      <w:proofErr w:type="spellStart"/>
      <w:r w:rsidR="00756A32" w:rsidRPr="00756A32">
        <w:rPr>
          <w:rFonts w:ascii="GHEA Grapalat" w:hAnsi="GHEA Grapalat"/>
          <w:color w:val="000000"/>
          <w:sz w:val="24"/>
          <w:szCs w:val="24"/>
          <w:lang w:val="hy-AM"/>
        </w:rPr>
        <w:t>միջև</w:t>
      </w:r>
      <w:proofErr w:type="spellEnd"/>
      <w:r w:rsidR="00756A32" w:rsidRPr="00756A32">
        <w:rPr>
          <w:rFonts w:ascii="GHEA Grapalat" w:hAnsi="GHEA Grapalat"/>
          <w:color w:val="000000"/>
          <w:sz w:val="24"/>
          <w:szCs w:val="24"/>
          <w:lang w:val="hy-AM"/>
        </w:rPr>
        <w:t xml:space="preserve"> առկա ժամանակային գործոնը և դրանով պայմանավորված՝ դատական ակտը վիճարկելու իրական հնարավորության ապահովման անհրաժեշտությունը։ Այսինքն</w:t>
      </w:r>
      <w:r>
        <w:rPr>
          <w:rFonts w:ascii="GHEA Grapalat" w:hAnsi="GHEA Grapalat"/>
          <w:color w:val="000000"/>
          <w:sz w:val="24"/>
          <w:szCs w:val="24"/>
          <w:lang w:val="hy-AM"/>
        </w:rPr>
        <w:t>,</w:t>
      </w:r>
      <w:r w:rsidR="00756A32" w:rsidRPr="00756A3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CF502C">
        <w:rPr>
          <w:rFonts w:ascii="GHEA Grapalat" w:hAnsi="GHEA Grapalat"/>
          <w:color w:val="000000"/>
          <w:sz w:val="24"/>
          <w:szCs w:val="24"/>
          <w:lang w:val="hy-AM"/>
        </w:rPr>
        <w:t>Ս</w:t>
      </w:r>
      <w:r w:rsidR="00756A32" w:rsidRPr="00756A32">
        <w:rPr>
          <w:rFonts w:ascii="GHEA Grapalat" w:hAnsi="GHEA Grapalat"/>
          <w:color w:val="000000"/>
          <w:sz w:val="24"/>
          <w:szCs w:val="24"/>
          <w:lang w:val="hy-AM"/>
        </w:rPr>
        <w:t xml:space="preserve">ահմանադրական դատարանը </w:t>
      </w:r>
      <w:proofErr w:type="spellStart"/>
      <w:r w:rsidR="00756A32" w:rsidRPr="00756A32">
        <w:rPr>
          <w:rFonts w:ascii="GHEA Grapalat" w:hAnsi="GHEA Grapalat"/>
          <w:color w:val="000000"/>
          <w:sz w:val="24"/>
          <w:szCs w:val="24"/>
          <w:lang w:val="hy-AM"/>
        </w:rPr>
        <w:t>թեև</w:t>
      </w:r>
      <w:proofErr w:type="spellEnd"/>
      <w:r w:rsidR="00756A32" w:rsidRPr="00756A32">
        <w:rPr>
          <w:rFonts w:ascii="GHEA Grapalat" w:hAnsi="GHEA Grapalat"/>
          <w:color w:val="000000"/>
          <w:sz w:val="24"/>
          <w:szCs w:val="24"/>
          <w:lang w:val="hy-AM"/>
        </w:rPr>
        <w:t xml:space="preserve"> այս դեպքում խոսում է դատական ակտի հրապարակման և դատական ակտը հասցեատիրոջը փաստացիորեն հանձնելու պահերի </w:t>
      </w:r>
      <w:proofErr w:type="spellStart"/>
      <w:r w:rsidR="00756A32" w:rsidRPr="00756A32">
        <w:rPr>
          <w:rFonts w:ascii="GHEA Grapalat" w:hAnsi="GHEA Grapalat"/>
          <w:color w:val="000000"/>
          <w:sz w:val="24"/>
          <w:szCs w:val="24"/>
          <w:lang w:val="hy-AM"/>
        </w:rPr>
        <w:t>միջև</w:t>
      </w:r>
      <w:proofErr w:type="spellEnd"/>
      <w:r w:rsidR="00756A32" w:rsidRPr="00756A32">
        <w:rPr>
          <w:rFonts w:ascii="GHEA Grapalat" w:hAnsi="GHEA Grapalat"/>
          <w:color w:val="000000"/>
          <w:sz w:val="24"/>
          <w:szCs w:val="24"/>
          <w:lang w:val="hy-AM"/>
        </w:rPr>
        <w:t xml:space="preserve"> առկա ժամանակային գործոնի արդյունքում անձի՝ բողոքարկման իրավունքի իրացման իրական հնարավորության մասին, բայց հարկ է այս համատեքստում ուշադրությունը հրավիրել նաև այն հարցի վրա, որ նշված դեպքին կարող է միանալ 31 օր</w:t>
      </w:r>
      <w:r w:rsidR="00AC5D4B">
        <w:rPr>
          <w:rFonts w:ascii="GHEA Grapalat" w:hAnsi="GHEA Grapalat"/>
          <w:color w:val="000000"/>
          <w:sz w:val="24"/>
          <w:szCs w:val="24"/>
          <w:lang w:val="hy-AM"/>
        </w:rPr>
        <w:t>ից</w:t>
      </w:r>
      <w:r w:rsidR="008377DF">
        <w:rPr>
          <w:rFonts w:ascii="GHEA Grapalat" w:hAnsi="GHEA Grapalat"/>
          <w:color w:val="000000"/>
          <w:sz w:val="24"/>
          <w:szCs w:val="24"/>
          <w:lang w:val="hy-AM"/>
        </w:rPr>
        <w:t xml:space="preserve"> նվազ օրեր</w:t>
      </w:r>
      <w:r w:rsidR="00756A32" w:rsidRPr="00756A32">
        <w:rPr>
          <w:rFonts w:ascii="GHEA Grapalat" w:hAnsi="GHEA Grapalat"/>
          <w:color w:val="000000"/>
          <w:sz w:val="24"/>
          <w:szCs w:val="24"/>
          <w:lang w:val="hy-AM"/>
        </w:rPr>
        <w:t xml:space="preserve"> ունեցող ամիսների հանգամանքը, այդպիսով բողոքարկել ցանկացող անձին դնելով առավել վատթար իրավիճակի </w:t>
      </w:r>
      <w:proofErr w:type="spellStart"/>
      <w:r w:rsidR="00756A32" w:rsidRPr="00756A32">
        <w:rPr>
          <w:rFonts w:ascii="GHEA Grapalat" w:hAnsi="GHEA Grapalat"/>
          <w:color w:val="000000"/>
          <w:sz w:val="24"/>
          <w:szCs w:val="24"/>
          <w:lang w:val="hy-AM"/>
        </w:rPr>
        <w:t>առջև</w:t>
      </w:r>
      <w:proofErr w:type="spellEnd"/>
      <w:r w:rsidR="00756A32" w:rsidRPr="00756A32">
        <w:rPr>
          <w:rFonts w:ascii="GHEA Grapalat" w:hAnsi="GHEA Grapalat"/>
          <w:color w:val="000000"/>
          <w:sz w:val="24"/>
          <w:szCs w:val="24"/>
          <w:lang w:val="hy-AM"/>
        </w:rPr>
        <w:t xml:space="preserve">։ </w:t>
      </w:r>
      <w:r w:rsidR="008377DF" w:rsidRPr="008377DF">
        <w:rPr>
          <w:rFonts w:ascii="GHEA Grapalat" w:hAnsi="GHEA Grapalat"/>
          <w:sz w:val="24"/>
          <w:szCs w:val="24"/>
          <w:lang w:val="hy-AM"/>
        </w:rPr>
        <w:t xml:space="preserve">Ավելին, </w:t>
      </w:r>
      <w:proofErr w:type="spellStart"/>
      <w:r w:rsidR="008377DF" w:rsidRPr="008377DF">
        <w:rPr>
          <w:rFonts w:ascii="GHEA Grapalat" w:hAnsi="GHEA Grapalat"/>
          <w:sz w:val="24"/>
          <w:szCs w:val="24"/>
          <w:lang w:val="hy-AM"/>
        </w:rPr>
        <w:t>Գալստյանն</w:t>
      </w:r>
      <w:proofErr w:type="spellEnd"/>
      <w:r w:rsidR="008377DF" w:rsidRPr="008377DF">
        <w:rPr>
          <w:rFonts w:ascii="GHEA Grapalat" w:hAnsi="GHEA Grapalat"/>
          <w:sz w:val="24"/>
          <w:szCs w:val="24"/>
          <w:lang w:val="hy-AM"/>
        </w:rPr>
        <w:t xml:space="preserve"> ընդդեմ Հայաստանի գործով</w:t>
      </w:r>
      <w:r w:rsidR="007C3F7E">
        <w:rPr>
          <w:rStyle w:val="FootnoteReference"/>
          <w:rFonts w:ascii="GHEA Grapalat" w:hAnsi="GHEA Grapalat"/>
          <w:sz w:val="24"/>
          <w:szCs w:val="24"/>
          <w:lang w:val="hy-AM"/>
        </w:rPr>
        <w:footnoteReference w:id="2"/>
      </w:r>
      <w:r w:rsidR="008377DF" w:rsidRPr="008377DF">
        <w:rPr>
          <w:rFonts w:ascii="GHEA Grapalat" w:hAnsi="GHEA Grapalat"/>
          <w:sz w:val="24"/>
          <w:szCs w:val="24"/>
          <w:lang w:val="hy-AM"/>
        </w:rPr>
        <w:t xml:space="preserve"> Մարդու իրավունքների </w:t>
      </w:r>
      <w:proofErr w:type="spellStart"/>
      <w:r w:rsidR="008377DF" w:rsidRPr="008377DF">
        <w:rPr>
          <w:rFonts w:ascii="GHEA Grapalat" w:hAnsi="GHEA Grapalat"/>
          <w:sz w:val="24"/>
          <w:szCs w:val="24"/>
          <w:lang w:val="hy-AM"/>
        </w:rPr>
        <w:t>եվրոպական</w:t>
      </w:r>
      <w:proofErr w:type="spellEnd"/>
      <w:r w:rsidR="008377DF" w:rsidRPr="008377DF">
        <w:rPr>
          <w:rFonts w:ascii="GHEA Grapalat" w:hAnsi="GHEA Grapalat"/>
          <w:sz w:val="24"/>
          <w:szCs w:val="24"/>
          <w:lang w:val="hy-AM"/>
        </w:rPr>
        <w:t xml:space="preserve"> դատարանը գտել է, որ ներպետական </w:t>
      </w:r>
      <w:r w:rsidR="008377DF" w:rsidRPr="008377DF">
        <w:rPr>
          <w:rFonts w:ascii="GHEA Grapalat" w:hAnsi="GHEA Grapalat"/>
          <w:sz w:val="24"/>
          <w:szCs w:val="24"/>
          <w:lang w:val="hy-AM"/>
        </w:rPr>
        <w:lastRenderedPageBreak/>
        <w:t xml:space="preserve">օրենսդրությամբ նախատեսված բողոքարկման ընթացակարգը պետք է հստակ </w:t>
      </w:r>
      <w:proofErr w:type="spellStart"/>
      <w:r w:rsidR="008377DF" w:rsidRPr="008377DF">
        <w:rPr>
          <w:rFonts w:ascii="GHEA Grapalat" w:hAnsi="GHEA Grapalat"/>
          <w:sz w:val="24"/>
          <w:szCs w:val="24"/>
          <w:lang w:val="hy-AM"/>
        </w:rPr>
        <w:t>ձևակերպված</w:t>
      </w:r>
      <w:proofErr w:type="spellEnd"/>
      <w:r w:rsidR="008377DF" w:rsidRPr="008377DF">
        <w:rPr>
          <w:rFonts w:ascii="GHEA Grapalat" w:hAnsi="GHEA Grapalat"/>
          <w:sz w:val="24"/>
          <w:szCs w:val="24"/>
          <w:lang w:val="hy-AM"/>
        </w:rPr>
        <w:t xml:space="preserve"> լինի, ունենա կիրառության </w:t>
      </w:r>
      <w:proofErr w:type="spellStart"/>
      <w:r w:rsidR="008377DF" w:rsidRPr="008377DF">
        <w:rPr>
          <w:rFonts w:ascii="GHEA Grapalat" w:hAnsi="GHEA Grapalat"/>
          <w:sz w:val="24"/>
          <w:szCs w:val="24"/>
          <w:lang w:val="hy-AM"/>
        </w:rPr>
        <w:t>հետևողական</w:t>
      </w:r>
      <w:proofErr w:type="spellEnd"/>
      <w:r w:rsidR="008377DF" w:rsidRPr="008377DF">
        <w:rPr>
          <w:rFonts w:ascii="GHEA Grapalat" w:hAnsi="GHEA Grapalat"/>
          <w:sz w:val="24"/>
          <w:szCs w:val="24"/>
          <w:lang w:val="hy-AM"/>
        </w:rPr>
        <w:t xml:space="preserve"> պրակտիկա և անձին պետք է ընձեռի բողոքարկելու հստակ և մատչելի իրավունք:</w:t>
      </w:r>
      <w:r w:rsidR="00AC5D4B">
        <w:rPr>
          <w:rFonts w:ascii="GHEA Grapalat" w:hAnsi="GHEA Grapalat"/>
          <w:sz w:val="24"/>
          <w:szCs w:val="24"/>
          <w:lang w:val="hy-AM"/>
        </w:rPr>
        <w:t xml:space="preserve"> </w:t>
      </w:r>
      <w:r w:rsidR="000C07D3">
        <w:rPr>
          <w:rFonts w:ascii="GHEA Grapalat" w:hAnsi="GHEA Grapalat"/>
          <w:sz w:val="24"/>
          <w:szCs w:val="24"/>
          <w:lang w:val="hy-AM"/>
        </w:rPr>
        <w:t>Ստեղծված իրավիճակում, տարբեր գործերով կողմերն ունենում են բողոքարկման համար տարբեր ժամկետներ՝ հաշվի առնելով միայն այն փաստը, որ օրինակ փետրվար ամիս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="000C07D3">
        <w:rPr>
          <w:rFonts w:ascii="GHEA Grapalat" w:hAnsi="GHEA Grapalat"/>
          <w:sz w:val="24"/>
          <w:szCs w:val="24"/>
          <w:lang w:val="hy-AM"/>
        </w:rPr>
        <w:t xml:space="preserve"> ունի 28/29 օր, իսկ օրինակ մարտ ամիսը՝ 31 օր: Այսինքն մեկ ամսվա ժամկետի հաշվարկման Օրենսգրքով նախատեսված դեպքում տարբեր հնարավորություններ են </w:t>
      </w:r>
      <w:proofErr w:type="spellStart"/>
      <w:r w:rsidR="000C07D3">
        <w:rPr>
          <w:rFonts w:ascii="GHEA Grapalat" w:hAnsi="GHEA Grapalat"/>
          <w:sz w:val="24"/>
          <w:szCs w:val="24"/>
          <w:lang w:val="hy-AM"/>
        </w:rPr>
        <w:t>ընձեռվում</w:t>
      </w:r>
      <w:proofErr w:type="spellEnd"/>
      <w:r w:rsidR="000C07D3">
        <w:rPr>
          <w:rFonts w:ascii="GHEA Grapalat" w:hAnsi="GHEA Grapalat"/>
          <w:sz w:val="24"/>
          <w:szCs w:val="24"/>
          <w:lang w:val="hy-AM"/>
        </w:rPr>
        <w:t xml:space="preserve"> նույն իրավիճակում գտնվ</w:t>
      </w:r>
      <w:r w:rsidR="00014D7F">
        <w:rPr>
          <w:rFonts w:ascii="GHEA Grapalat" w:hAnsi="GHEA Grapalat"/>
          <w:sz w:val="24"/>
          <w:szCs w:val="24"/>
          <w:lang w:val="hy-AM"/>
        </w:rPr>
        <w:t>ո</w:t>
      </w:r>
      <w:r w:rsidR="000C07D3">
        <w:rPr>
          <w:rFonts w:ascii="GHEA Grapalat" w:hAnsi="GHEA Grapalat"/>
          <w:sz w:val="24"/>
          <w:szCs w:val="24"/>
          <w:lang w:val="hy-AM"/>
        </w:rPr>
        <w:t>ղ անձանց՝ բողոքարկման իրավունքի իրականացման համար: Ըստ այդ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="000C07D3">
        <w:rPr>
          <w:rFonts w:ascii="GHEA Grapalat" w:hAnsi="GHEA Grapalat"/>
          <w:sz w:val="24"/>
          <w:szCs w:val="24"/>
          <w:lang w:val="hy-AM"/>
        </w:rPr>
        <w:t xml:space="preserve">, վտանգվում է վերջիններիս՝ արդար դատաքննության </w:t>
      </w:r>
      <w:r w:rsidR="00637C9E">
        <w:rPr>
          <w:rFonts w:ascii="GHEA Grapalat" w:hAnsi="GHEA Grapalat"/>
          <w:sz w:val="24"/>
          <w:szCs w:val="24"/>
          <w:lang w:val="hy-AM"/>
        </w:rPr>
        <w:t>ի</w:t>
      </w:r>
      <w:r w:rsidR="000C07D3">
        <w:rPr>
          <w:rFonts w:ascii="GHEA Grapalat" w:hAnsi="GHEA Grapalat"/>
          <w:sz w:val="24"/>
          <w:szCs w:val="24"/>
          <w:lang w:val="hy-AM"/>
        </w:rPr>
        <w:t>ր</w:t>
      </w:r>
      <w:r w:rsidR="00014D7F">
        <w:rPr>
          <w:rFonts w:ascii="GHEA Grapalat" w:hAnsi="GHEA Grapalat"/>
          <w:sz w:val="24"/>
          <w:szCs w:val="24"/>
          <w:lang w:val="hy-AM"/>
        </w:rPr>
        <w:t>ա</w:t>
      </w:r>
      <w:r w:rsidR="000C07D3">
        <w:rPr>
          <w:rFonts w:ascii="GHEA Grapalat" w:hAnsi="GHEA Grapalat"/>
          <w:sz w:val="24"/>
          <w:szCs w:val="24"/>
          <w:lang w:val="hy-AM"/>
        </w:rPr>
        <w:t>վունքի արդյունավետ իրականացումը:</w:t>
      </w:r>
      <w:r w:rsidR="00637C9E">
        <w:rPr>
          <w:rFonts w:ascii="GHEA Grapalat" w:hAnsi="GHEA Grapalat"/>
          <w:sz w:val="24"/>
          <w:szCs w:val="24"/>
          <w:lang w:val="hy-AM"/>
        </w:rPr>
        <w:t xml:space="preserve"> Հ</w:t>
      </w:r>
      <w:r>
        <w:rPr>
          <w:rFonts w:ascii="GHEA Grapalat" w:hAnsi="GHEA Grapalat"/>
          <w:sz w:val="24"/>
          <w:szCs w:val="24"/>
          <w:lang w:val="hy-AM"/>
        </w:rPr>
        <w:t>ա</w:t>
      </w:r>
      <w:bookmarkStart w:id="0" w:name="_GoBack"/>
      <w:bookmarkEnd w:id="0"/>
      <w:r w:rsidR="00637C9E">
        <w:rPr>
          <w:rFonts w:ascii="GHEA Grapalat" w:hAnsi="GHEA Grapalat"/>
          <w:sz w:val="24"/>
          <w:szCs w:val="24"/>
          <w:lang w:val="hy-AM"/>
        </w:rPr>
        <w:t xml:space="preserve">մանման խնդիր է առկա նաև դատավարական մյուս օրենսգրքերի </w:t>
      </w:r>
      <w:proofErr w:type="spellStart"/>
      <w:r w:rsidR="00637C9E">
        <w:rPr>
          <w:rFonts w:ascii="GHEA Grapalat" w:hAnsi="GHEA Grapalat"/>
          <w:sz w:val="24"/>
          <w:szCs w:val="24"/>
          <w:lang w:val="hy-AM"/>
        </w:rPr>
        <w:t>կարգավորումներում</w:t>
      </w:r>
      <w:proofErr w:type="spellEnd"/>
      <w:r w:rsidR="00637C9E">
        <w:rPr>
          <w:rFonts w:ascii="GHEA Grapalat" w:hAnsi="GHEA Grapalat"/>
          <w:sz w:val="24"/>
          <w:szCs w:val="24"/>
          <w:lang w:val="hy-AM"/>
        </w:rPr>
        <w:t>:</w:t>
      </w:r>
    </w:p>
    <w:p w14:paraId="6F24F0B2" w14:textId="5E10B9FD" w:rsidR="007C3F7E" w:rsidRPr="007C3F7E" w:rsidRDefault="000E0B82" w:rsidP="000C07D3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sectPr w:rsidR="007C3F7E" w:rsidRPr="007C3F7E" w:rsidSect="000C07D3">
      <w:footerReference w:type="default" r:id="rId7"/>
      <w:pgSz w:w="12240" w:h="15840"/>
      <w:pgMar w:top="1134" w:right="990" w:bottom="1134" w:left="117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BA26F" w14:textId="77777777" w:rsidR="00DC519F" w:rsidRDefault="00DC519F" w:rsidP="007C3F7E">
      <w:pPr>
        <w:spacing w:after="0" w:line="240" w:lineRule="auto"/>
      </w:pPr>
      <w:r>
        <w:separator/>
      </w:r>
    </w:p>
  </w:endnote>
  <w:endnote w:type="continuationSeparator" w:id="0">
    <w:p w14:paraId="54C11EC1" w14:textId="77777777" w:rsidR="00DC519F" w:rsidRDefault="00DC519F" w:rsidP="007C3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92534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0CF81C" w14:textId="14F604B4" w:rsidR="00A776E0" w:rsidRDefault="00A776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6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48E1236" w14:textId="77777777" w:rsidR="00A776E0" w:rsidRDefault="00A776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AEA66" w14:textId="77777777" w:rsidR="00DC519F" w:rsidRDefault="00DC519F" w:rsidP="007C3F7E">
      <w:pPr>
        <w:spacing w:after="0" w:line="240" w:lineRule="auto"/>
      </w:pPr>
      <w:r>
        <w:separator/>
      </w:r>
    </w:p>
  </w:footnote>
  <w:footnote w:type="continuationSeparator" w:id="0">
    <w:p w14:paraId="57ED9A3E" w14:textId="77777777" w:rsidR="00DC519F" w:rsidRDefault="00DC519F" w:rsidP="007C3F7E">
      <w:pPr>
        <w:spacing w:after="0" w:line="240" w:lineRule="auto"/>
      </w:pPr>
      <w:r>
        <w:continuationSeparator/>
      </w:r>
    </w:p>
  </w:footnote>
  <w:footnote w:id="1">
    <w:p w14:paraId="263BE20A" w14:textId="4D94415F" w:rsidR="007C3F7E" w:rsidRPr="00A776E0" w:rsidRDefault="007C3F7E">
      <w:pPr>
        <w:pStyle w:val="FootnoteText"/>
        <w:rPr>
          <w:rFonts w:ascii="GHEA Grapalat" w:hAnsi="GHEA Grapalat"/>
          <w:lang w:val="hy-AM"/>
        </w:rPr>
      </w:pPr>
      <w:r w:rsidRPr="00A776E0">
        <w:rPr>
          <w:rStyle w:val="FootnoteReference"/>
          <w:rFonts w:ascii="GHEA Grapalat" w:hAnsi="GHEA Grapalat"/>
        </w:rPr>
        <w:footnoteRef/>
      </w:r>
      <w:r w:rsidRPr="00A776E0">
        <w:rPr>
          <w:rFonts w:ascii="GHEA Grapalat" w:hAnsi="GHEA Grapalat"/>
        </w:rPr>
        <w:t xml:space="preserve"> </w:t>
      </w:r>
      <w:proofErr w:type="spellStart"/>
      <w:r w:rsidRPr="00A776E0">
        <w:rPr>
          <w:rFonts w:ascii="GHEA Grapalat" w:hAnsi="GHEA Grapalat"/>
          <w:lang w:val="hy-AM"/>
        </w:rPr>
        <w:t>Այսուհետև</w:t>
      </w:r>
      <w:proofErr w:type="spellEnd"/>
      <w:r w:rsidRPr="00A776E0">
        <w:rPr>
          <w:rFonts w:ascii="GHEA Grapalat" w:hAnsi="GHEA Grapalat"/>
          <w:lang w:val="hy-AM"/>
        </w:rPr>
        <w:t>՝ Օրենսգիրք</w:t>
      </w:r>
    </w:p>
  </w:footnote>
  <w:footnote w:id="2">
    <w:p w14:paraId="6C6B3709" w14:textId="29528BB4" w:rsidR="007C3F7E" w:rsidRPr="00A776E0" w:rsidRDefault="007C3F7E" w:rsidP="007C3F7E">
      <w:pPr>
        <w:pStyle w:val="FootnoteText"/>
        <w:rPr>
          <w:rFonts w:ascii="GHEA Grapalat" w:hAnsi="GHEA Grapalat" w:cs="Arial"/>
          <w:lang w:val="hy-AM"/>
        </w:rPr>
      </w:pPr>
      <w:r w:rsidRPr="00A776E0">
        <w:rPr>
          <w:rStyle w:val="FootnoteReference"/>
          <w:rFonts w:ascii="GHEA Grapalat" w:hAnsi="GHEA Grapalat"/>
        </w:rPr>
        <w:footnoteRef/>
      </w:r>
      <w:r w:rsidRPr="00A776E0">
        <w:rPr>
          <w:rFonts w:ascii="GHEA Grapalat" w:hAnsi="GHEA Grapalat"/>
          <w:lang w:val="hy-AM"/>
        </w:rPr>
        <w:t xml:space="preserve"> </w:t>
      </w:r>
      <w:proofErr w:type="spellStart"/>
      <w:r w:rsidRPr="00A776E0">
        <w:rPr>
          <w:rFonts w:ascii="GHEA Grapalat" w:hAnsi="GHEA Grapalat"/>
          <w:lang w:val="hy-AM"/>
        </w:rPr>
        <w:t>Տե՛ս</w:t>
      </w:r>
      <w:proofErr w:type="spellEnd"/>
      <w:r w:rsidRPr="00A776E0">
        <w:rPr>
          <w:rFonts w:ascii="GHEA Grapalat" w:hAnsi="GHEA Grapalat"/>
          <w:lang w:val="hy-AM"/>
        </w:rPr>
        <w:t xml:space="preserve"> </w:t>
      </w:r>
      <w:proofErr w:type="spellStart"/>
      <w:r w:rsidRPr="00A776E0">
        <w:rPr>
          <w:rFonts w:ascii="GHEA Grapalat" w:hAnsi="GHEA Grapalat"/>
          <w:lang w:val="hy-AM"/>
        </w:rPr>
        <w:t>Գալստյանն</w:t>
      </w:r>
      <w:proofErr w:type="spellEnd"/>
      <w:r w:rsidRPr="00A776E0">
        <w:rPr>
          <w:rFonts w:ascii="GHEA Grapalat" w:hAnsi="GHEA Grapalat"/>
          <w:lang w:val="hy-AM"/>
        </w:rPr>
        <w:t xml:space="preserve"> ընդդեմ Հայաստանի (Galstyan v. Armenia) 2007 թվականի նոյեմբերի 15-ի վճիռը, գանգատ թիվ 26986/03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BF"/>
    <w:rsid w:val="00013AA5"/>
    <w:rsid w:val="00014D7F"/>
    <w:rsid w:val="000C07D3"/>
    <w:rsid w:val="000E0B82"/>
    <w:rsid w:val="00257D65"/>
    <w:rsid w:val="00304517"/>
    <w:rsid w:val="00387775"/>
    <w:rsid w:val="00637C9E"/>
    <w:rsid w:val="00677663"/>
    <w:rsid w:val="006D0C40"/>
    <w:rsid w:val="00756A32"/>
    <w:rsid w:val="007C3F7E"/>
    <w:rsid w:val="008377DF"/>
    <w:rsid w:val="008836C4"/>
    <w:rsid w:val="00941714"/>
    <w:rsid w:val="009D6544"/>
    <w:rsid w:val="00A776E0"/>
    <w:rsid w:val="00AC5D4B"/>
    <w:rsid w:val="00BA41A0"/>
    <w:rsid w:val="00C236BB"/>
    <w:rsid w:val="00CF502C"/>
    <w:rsid w:val="00DA46DF"/>
    <w:rsid w:val="00DC519F"/>
    <w:rsid w:val="00E06D65"/>
    <w:rsid w:val="00EB2041"/>
    <w:rsid w:val="00F21ABE"/>
    <w:rsid w:val="00F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2FB14"/>
  <w15:chartTrackingRefBased/>
  <w15:docId w15:val="{992BA37E-3B90-48ED-A789-519C559C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F5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0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0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0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3F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3F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3F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3F7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77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6E0"/>
  </w:style>
  <w:style w:type="paragraph" w:styleId="Footer">
    <w:name w:val="footer"/>
    <w:basedOn w:val="Normal"/>
    <w:link w:val="FooterChar"/>
    <w:uiPriority w:val="99"/>
    <w:unhideWhenUsed/>
    <w:rsid w:val="00A77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31D03-F45B-4E40-9E60-7FFA057E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Tigran Melqonyan</dc:creator>
  <cp:keywords/>
  <dc:description/>
  <cp:lastModifiedBy>Tigran Melqonyan</cp:lastModifiedBy>
  <cp:revision>8</cp:revision>
  <dcterms:created xsi:type="dcterms:W3CDTF">2018-02-15T11:35:00Z</dcterms:created>
  <dcterms:modified xsi:type="dcterms:W3CDTF">2018-02-15T12:06:00Z</dcterms:modified>
</cp:coreProperties>
</file>